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6302" w:type="dxa"/>
        <w:tblInd w:w="-318" w:type="dxa"/>
        <w:tblLayout w:type="fixed"/>
        <w:tblLook w:val="04A0"/>
      </w:tblPr>
      <w:tblGrid>
        <w:gridCol w:w="993"/>
        <w:gridCol w:w="7371"/>
        <w:gridCol w:w="7938"/>
      </w:tblGrid>
      <w:tr w:rsidR="00822E50" w:rsidRPr="00937C2F" w:rsidTr="00CD4170">
        <w:trPr>
          <w:trHeight w:val="1218"/>
        </w:trPr>
        <w:tc>
          <w:tcPr>
            <w:tcW w:w="993" w:type="dxa"/>
          </w:tcPr>
          <w:p w:rsidR="009E5E49" w:rsidRPr="00190F64" w:rsidRDefault="009E5E49" w:rsidP="00190F64">
            <w:pPr>
              <w:jc w:val="center"/>
              <w:rPr>
                <w:rFonts w:ascii="Times New Roman" w:hAnsi="Times New Roman" w:cs="Times New Roman"/>
                <w:b/>
                <w:sz w:val="24"/>
                <w:szCs w:val="24"/>
              </w:rPr>
            </w:pPr>
            <w:r w:rsidRPr="00190F64">
              <w:rPr>
                <w:rFonts w:ascii="Times New Roman" w:hAnsi="Times New Roman" w:cs="Times New Roman"/>
                <w:b/>
                <w:sz w:val="24"/>
                <w:szCs w:val="24"/>
              </w:rPr>
              <w:t xml:space="preserve">Пункт </w:t>
            </w:r>
            <w:r w:rsidR="002A4269" w:rsidRPr="00190F64">
              <w:rPr>
                <w:rFonts w:ascii="Times New Roman" w:hAnsi="Times New Roman" w:cs="Times New Roman"/>
                <w:b/>
                <w:sz w:val="24"/>
                <w:szCs w:val="24"/>
              </w:rPr>
              <w:t>ПДУ</w:t>
            </w:r>
            <w:r w:rsidRPr="00190F64">
              <w:rPr>
                <w:rFonts w:ascii="Times New Roman" w:hAnsi="Times New Roman" w:cs="Times New Roman"/>
                <w:b/>
                <w:sz w:val="24"/>
                <w:szCs w:val="24"/>
              </w:rPr>
              <w:t xml:space="preserve"> ПИФ</w:t>
            </w:r>
          </w:p>
        </w:tc>
        <w:tc>
          <w:tcPr>
            <w:tcW w:w="7371" w:type="dxa"/>
          </w:tcPr>
          <w:p w:rsidR="009E5E49" w:rsidRPr="00937C2F" w:rsidRDefault="009E5E49" w:rsidP="00830979">
            <w:pPr>
              <w:jc w:val="both"/>
              <w:rPr>
                <w:rFonts w:ascii="Times New Roman" w:hAnsi="Times New Roman" w:cs="Times New Roman"/>
                <w:b/>
                <w:sz w:val="24"/>
                <w:szCs w:val="24"/>
              </w:rPr>
            </w:pPr>
            <w:r w:rsidRPr="00937C2F">
              <w:rPr>
                <w:rFonts w:ascii="Times New Roman" w:hAnsi="Times New Roman" w:cs="Times New Roman"/>
                <w:b/>
                <w:sz w:val="24"/>
                <w:szCs w:val="24"/>
              </w:rPr>
              <w:t xml:space="preserve">Типовые </w:t>
            </w:r>
            <w:r w:rsidR="002A4269" w:rsidRPr="00937C2F">
              <w:rPr>
                <w:rFonts w:ascii="Times New Roman" w:hAnsi="Times New Roman" w:cs="Times New Roman"/>
                <w:b/>
                <w:sz w:val="24"/>
                <w:szCs w:val="24"/>
              </w:rPr>
              <w:t>пра</w:t>
            </w:r>
            <w:r w:rsidR="00830979">
              <w:rPr>
                <w:rFonts w:ascii="Times New Roman" w:hAnsi="Times New Roman" w:cs="Times New Roman"/>
                <w:b/>
                <w:sz w:val="24"/>
                <w:szCs w:val="24"/>
              </w:rPr>
              <w:t xml:space="preserve">вила доверительного управления </w:t>
            </w:r>
            <w:r w:rsidR="00E260FA">
              <w:rPr>
                <w:rFonts w:ascii="Times New Roman" w:hAnsi="Times New Roman" w:cs="Times New Roman"/>
                <w:b/>
                <w:sz w:val="24"/>
                <w:szCs w:val="24"/>
                <w:u w:val="single"/>
              </w:rPr>
              <w:t>закрытым</w:t>
            </w:r>
            <w:r w:rsidR="002A4269" w:rsidRPr="00937C2F">
              <w:rPr>
                <w:rFonts w:ascii="Times New Roman" w:hAnsi="Times New Roman" w:cs="Times New Roman"/>
                <w:b/>
                <w:sz w:val="24"/>
                <w:szCs w:val="24"/>
              </w:rPr>
              <w:t xml:space="preserve"> паевым инвестиционным фондом, инвестиционные паи которого ограничены в обороте</w:t>
            </w:r>
          </w:p>
        </w:tc>
        <w:tc>
          <w:tcPr>
            <w:tcW w:w="7938" w:type="dxa"/>
          </w:tcPr>
          <w:p w:rsidR="009E5E49" w:rsidRPr="00937C2F" w:rsidRDefault="006C1F43" w:rsidP="001649BA">
            <w:pPr>
              <w:rPr>
                <w:rFonts w:ascii="Times New Roman" w:hAnsi="Times New Roman" w:cs="Times New Roman"/>
                <w:b/>
                <w:sz w:val="24"/>
                <w:szCs w:val="24"/>
              </w:rPr>
            </w:pPr>
            <w:r w:rsidRPr="00937C2F">
              <w:rPr>
                <w:rFonts w:ascii="Times New Roman" w:hAnsi="Times New Roman" w:cs="Times New Roman"/>
                <w:b/>
                <w:sz w:val="24"/>
                <w:szCs w:val="24"/>
              </w:rPr>
              <w:t xml:space="preserve">ПДУ ПИФ </w:t>
            </w:r>
            <w:r>
              <w:rPr>
                <w:rFonts w:ascii="Times New Roman" w:hAnsi="Times New Roman" w:cs="Times New Roman"/>
                <w:b/>
                <w:sz w:val="24"/>
                <w:szCs w:val="24"/>
              </w:rPr>
              <w:t>с учетомизменений в Закон № 156-ФЗ, внесенных</w:t>
            </w:r>
            <w:r w:rsidRPr="00190F64">
              <w:rPr>
                <w:rFonts w:ascii="Times New Roman" w:hAnsi="Times New Roman" w:cs="Times New Roman"/>
                <w:b/>
                <w:sz w:val="24"/>
                <w:szCs w:val="24"/>
              </w:rPr>
              <w:t xml:space="preserve"> Закон</w:t>
            </w:r>
            <w:r>
              <w:rPr>
                <w:rFonts w:ascii="Times New Roman" w:hAnsi="Times New Roman" w:cs="Times New Roman"/>
                <w:b/>
                <w:sz w:val="24"/>
                <w:szCs w:val="24"/>
              </w:rPr>
              <w:t>ом</w:t>
            </w:r>
            <w:r w:rsidRPr="00190F64">
              <w:rPr>
                <w:rFonts w:ascii="Times New Roman" w:hAnsi="Times New Roman" w:cs="Times New Roman"/>
                <w:b/>
                <w:sz w:val="24"/>
                <w:szCs w:val="24"/>
              </w:rPr>
              <w:t xml:space="preserve"> № </w:t>
            </w:r>
            <w:r>
              <w:rPr>
                <w:rFonts w:ascii="Times New Roman" w:hAnsi="Times New Roman" w:cs="Times New Roman"/>
                <w:b/>
                <w:sz w:val="24"/>
                <w:szCs w:val="24"/>
              </w:rPr>
              <w:t>75</w:t>
            </w:r>
            <w:r w:rsidRPr="00190F64">
              <w:rPr>
                <w:rFonts w:ascii="Times New Roman" w:hAnsi="Times New Roman" w:cs="Times New Roman"/>
                <w:b/>
                <w:sz w:val="24"/>
                <w:szCs w:val="24"/>
              </w:rPr>
              <w:t>-ФЗ</w:t>
            </w:r>
            <w:r w:rsidRPr="00190F64">
              <w:rPr>
                <w:rStyle w:val="af3"/>
                <w:rFonts w:ascii="Times New Roman" w:hAnsi="Times New Roman" w:cs="Times New Roman"/>
                <w:b/>
                <w:sz w:val="24"/>
                <w:szCs w:val="24"/>
              </w:rPr>
              <w:footnoteReference w:id="2"/>
            </w:r>
            <w:r w:rsidRPr="00937C2F">
              <w:rPr>
                <w:rFonts w:ascii="Times New Roman" w:hAnsi="Times New Roman" w:cs="Times New Roman"/>
                <w:b/>
                <w:sz w:val="24"/>
                <w:szCs w:val="24"/>
              </w:rPr>
              <w:t>(</w:t>
            </w:r>
            <w:r>
              <w:rPr>
                <w:rFonts w:ascii="Times New Roman" w:hAnsi="Times New Roman" w:cs="Times New Roman"/>
                <w:b/>
                <w:sz w:val="24"/>
                <w:szCs w:val="24"/>
              </w:rPr>
              <w:t>неприменение ограничений, указанных в пп. 6-11 п. 1 ст. 40 Закона № 156-ФЗ</w:t>
            </w:r>
            <w:r w:rsidRPr="00937C2F">
              <w:rPr>
                <w:rFonts w:ascii="Times New Roman" w:hAnsi="Times New Roman" w:cs="Times New Roman"/>
                <w:b/>
                <w:sz w:val="24"/>
                <w:szCs w:val="24"/>
              </w:rPr>
              <w:t>)</w:t>
            </w:r>
          </w:p>
        </w:tc>
      </w:tr>
      <w:tr w:rsidR="001F2767" w:rsidRPr="007E59B0" w:rsidTr="00F51042">
        <w:trPr>
          <w:trHeight w:val="1218"/>
        </w:trPr>
        <w:tc>
          <w:tcPr>
            <w:tcW w:w="993" w:type="dxa"/>
          </w:tcPr>
          <w:p w:rsidR="001F2767" w:rsidRPr="00C75CB5" w:rsidRDefault="001F2767" w:rsidP="00F51042">
            <w:pPr>
              <w:jc w:val="center"/>
              <w:rPr>
                <w:rFonts w:ascii="Times New Roman" w:hAnsi="Times New Roman" w:cs="Times New Roman"/>
                <w:b/>
                <w:sz w:val="24"/>
                <w:szCs w:val="24"/>
              </w:rPr>
            </w:pPr>
            <w:r>
              <w:rPr>
                <w:rFonts w:ascii="Times New Roman" w:hAnsi="Times New Roman" w:cs="Times New Roman"/>
                <w:b/>
                <w:sz w:val="24"/>
                <w:szCs w:val="24"/>
              </w:rPr>
              <w:t>31</w:t>
            </w:r>
          </w:p>
        </w:tc>
        <w:tc>
          <w:tcPr>
            <w:tcW w:w="7371" w:type="dxa"/>
          </w:tcPr>
          <w:p w:rsidR="001F2767" w:rsidRPr="007E59B0" w:rsidRDefault="001F2767" w:rsidP="00F51042">
            <w:pPr>
              <w:ind w:firstLine="540"/>
              <w:jc w:val="both"/>
              <w:rPr>
                <w:rFonts w:ascii="Times New Roman" w:hAnsi="Times New Roman" w:cs="Times New Roman"/>
                <w:sz w:val="21"/>
                <w:szCs w:val="21"/>
              </w:rPr>
            </w:pPr>
            <w:r w:rsidRPr="007E59B0">
              <w:rPr>
                <w:rFonts w:ascii="Times New Roman" w:hAnsi="Times New Roman" w:cs="Times New Roman"/>
              </w:rPr>
              <w:t>Управляющая компания обязана:</w:t>
            </w:r>
          </w:p>
          <w:p w:rsidR="001F2767" w:rsidRPr="007E59B0" w:rsidRDefault="001F2767" w:rsidP="00F51042">
            <w:pPr>
              <w:ind w:firstLine="540"/>
              <w:jc w:val="both"/>
              <w:rPr>
                <w:rFonts w:ascii="Times New Roman" w:hAnsi="Times New Roman" w:cs="Times New Roman"/>
                <w:sz w:val="21"/>
                <w:szCs w:val="21"/>
              </w:rPr>
            </w:pPr>
            <w:r w:rsidRPr="007E59B0">
              <w:rPr>
                <w:rFonts w:ascii="Times New Roman" w:hAnsi="Times New Roman" w:cs="Times New Roman"/>
              </w:rPr>
              <w:t xml:space="preserve">1) осуществлять доверительное управление фондом в соответствии с Федеральным </w:t>
            </w:r>
            <w:hyperlink r:id="rId8" w:history="1">
              <w:r w:rsidRPr="007E59B0">
                <w:rPr>
                  <w:rStyle w:val="ac"/>
                  <w:rFonts w:ascii="Times New Roman" w:hAnsi="Times New Roman" w:cs="Times New Roman"/>
                  <w:color w:val="auto"/>
                  <w:u w:val="none"/>
                </w:rPr>
                <w:t>законом</w:t>
              </w:r>
            </w:hyperlink>
            <w:r>
              <w:rPr>
                <w:rFonts w:ascii="Times New Roman" w:hAnsi="Times New Roman" w:cs="Times New Roman"/>
              </w:rPr>
              <w:t xml:space="preserve"> «</w:t>
            </w:r>
            <w:r w:rsidRPr="007E59B0">
              <w:rPr>
                <w:rFonts w:ascii="Times New Roman" w:hAnsi="Times New Roman" w:cs="Times New Roman"/>
              </w:rPr>
              <w:t>Об инвестиционных фондах</w:t>
            </w:r>
            <w:r>
              <w:rPr>
                <w:rFonts w:ascii="Times New Roman" w:hAnsi="Times New Roman" w:cs="Times New Roman"/>
              </w:rPr>
              <w:t>»</w:t>
            </w:r>
            <w:r w:rsidRPr="007E59B0">
              <w:rPr>
                <w:rFonts w:ascii="Times New Roman" w:hAnsi="Times New Roman" w:cs="Times New Roman"/>
              </w:rPr>
              <w:t>, другими федеральными законами, нормативными правовыми актами федерального органа исполнительной власти по рынку ценных бумаг и настоящими Правилами;</w:t>
            </w:r>
          </w:p>
          <w:p w:rsidR="001F2767" w:rsidRPr="007E59B0" w:rsidRDefault="001F2767" w:rsidP="00F51042">
            <w:pPr>
              <w:ind w:firstLine="540"/>
              <w:jc w:val="both"/>
              <w:rPr>
                <w:rFonts w:ascii="Times New Roman" w:hAnsi="Times New Roman" w:cs="Times New Roman"/>
                <w:sz w:val="21"/>
                <w:szCs w:val="21"/>
              </w:rPr>
            </w:pPr>
            <w:r w:rsidRPr="007E59B0">
              <w:rPr>
                <w:rFonts w:ascii="Times New Roman" w:hAnsi="Times New Roman" w:cs="Times New Roman"/>
              </w:rPr>
              <w:t>2) при осуществлении доверительного управления фондом действовать разумно и добросовестно в интересах владельцев инвестиционных паев;</w:t>
            </w:r>
          </w:p>
          <w:p w:rsidR="001F2767" w:rsidRPr="007E59B0" w:rsidRDefault="001F2767" w:rsidP="00F51042">
            <w:pPr>
              <w:ind w:firstLine="540"/>
              <w:jc w:val="both"/>
              <w:rPr>
                <w:rFonts w:ascii="Times New Roman" w:hAnsi="Times New Roman" w:cs="Times New Roman"/>
                <w:sz w:val="21"/>
                <w:szCs w:val="21"/>
              </w:rPr>
            </w:pPr>
            <w:r w:rsidRPr="007E59B0">
              <w:rPr>
                <w:rFonts w:ascii="Times New Roman" w:hAnsi="Times New Roman" w:cs="Times New Roman"/>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правовыми актами федерального органа исполнительной власти по рынку ценных бумаг, не предусмотрено иное;</w:t>
            </w:r>
          </w:p>
          <w:p w:rsidR="001F2767" w:rsidRPr="007E59B0" w:rsidRDefault="001F2767" w:rsidP="00F51042">
            <w:pPr>
              <w:ind w:firstLine="540"/>
              <w:jc w:val="both"/>
              <w:rPr>
                <w:rFonts w:ascii="Times New Roman" w:hAnsi="Times New Roman" w:cs="Times New Roman"/>
                <w:sz w:val="21"/>
                <w:szCs w:val="21"/>
              </w:rPr>
            </w:pPr>
            <w:r w:rsidRPr="007E59B0">
              <w:rPr>
                <w:rFonts w:ascii="Times New Roman" w:hAnsi="Times New Roman" w:cs="Times New Roman"/>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1F2767" w:rsidRPr="007E59B0" w:rsidRDefault="001F2767" w:rsidP="00F51042">
            <w:pPr>
              <w:ind w:firstLine="540"/>
              <w:jc w:val="both"/>
              <w:rPr>
                <w:rFonts w:ascii="Times New Roman" w:hAnsi="Times New Roman" w:cs="Times New Roman"/>
                <w:sz w:val="21"/>
                <w:szCs w:val="21"/>
              </w:rPr>
            </w:pPr>
            <w:r w:rsidRPr="007E59B0">
              <w:rPr>
                <w:rFonts w:ascii="Times New Roman" w:hAnsi="Times New Roman" w:cs="Times New Roman"/>
              </w:rPr>
              <w:t>5) передавать специализированному депозитарию подлинные экземпляры документов, подтверждающих права на недвижимое имущество (подпункт включается, если инвестиционная декларация фонда предусматривает инвестирование в объекты недвижимого имущества и (или) права на недвижимое имущество);</w:t>
            </w:r>
          </w:p>
          <w:p w:rsidR="001F2767" w:rsidRPr="007E59B0" w:rsidRDefault="001F2767" w:rsidP="00F51042">
            <w:pPr>
              <w:ind w:firstLine="540"/>
              <w:jc w:val="both"/>
              <w:rPr>
                <w:rFonts w:ascii="Times New Roman" w:hAnsi="Times New Roman" w:cs="Times New Roman"/>
                <w:sz w:val="21"/>
                <w:szCs w:val="21"/>
              </w:rPr>
            </w:pPr>
            <w:r w:rsidRPr="007E59B0">
              <w:rPr>
                <w:rFonts w:ascii="Times New Roman" w:hAnsi="Times New Roman" w:cs="Times New Roman"/>
              </w:rPr>
              <w:t>6) страховать здания, сооружения, помещения, составляющие фонд, от рисков их утраты и повреждения _________________ (подпункт включается, если инвестиционная декларация фонда предусматривает инвестирование в указанное недвижимое имущество. При этом указываются:</w:t>
            </w:r>
          </w:p>
          <w:p w:rsidR="001F2767" w:rsidRPr="007E59B0" w:rsidRDefault="001F2767" w:rsidP="00F51042">
            <w:pPr>
              <w:ind w:firstLine="540"/>
              <w:jc w:val="both"/>
              <w:rPr>
                <w:rFonts w:ascii="Times New Roman" w:hAnsi="Times New Roman" w:cs="Times New Roman"/>
                <w:sz w:val="21"/>
                <w:szCs w:val="21"/>
              </w:rPr>
            </w:pPr>
            <w:r w:rsidRPr="007E59B0">
              <w:rPr>
                <w:rFonts w:ascii="Times New Roman" w:hAnsi="Times New Roman" w:cs="Times New Roman"/>
              </w:rPr>
              <w:t>минимальная страховая сумма, которая не может быть меньше 50 процентов оценочной стоимости объекта недвижимого имущества на дату заключения договора страхования;</w:t>
            </w:r>
          </w:p>
          <w:p w:rsidR="001F2767" w:rsidRPr="007E59B0" w:rsidRDefault="001F2767" w:rsidP="00F51042">
            <w:pPr>
              <w:ind w:firstLine="540"/>
              <w:jc w:val="both"/>
              <w:rPr>
                <w:rFonts w:ascii="Times New Roman" w:hAnsi="Times New Roman" w:cs="Times New Roman"/>
                <w:sz w:val="21"/>
                <w:szCs w:val="21"/>
              </w:rPr>
            </w:pPr>
            <w:r w:rsidRPr="007E59B0">
              <w:rPr>
                <w:rFonts w:ascii="Times New Roman" w:hAnsi="Times New Roman" w:cs="Times New Roman"/>
              </w:rPr>
              <w:t xml:space="preserve">максимальный размер частичного освобождения страховщика от </w:t>
            </w:r>
            <w:r w:rsidRPr="007E59B0">
              <w:rPr>
                <w:rFonts w:ascii="Times New Roman" w:hAnsi="Times New Roman" w:cs="Times New Roman"/>
              </w:rPr>
              <w:lastRenderedPageBreak/>
              <w:t>выплаты страхового возмещения (франшизы), который не может быть больше 1 процента страховой суммы;</w:t>
            </w:r>
          </w:p>
          <w:p w:rsidR="001F2767" w:rsidRPr="007E59B0" w:rsidRDefault="001F2767" w:rsidP="00F51042">
            <w:pPr>
              <w:ind w:firstLine="540"/>
              <w:jc w:val="both"/>
              <w:rPr>
                <w:rFonts w:ascii="Times New Roman" w:hAnsi="Times New Roman" w:cs="Times New Roman"/>
                <w:sz w:val="21"/>
                <w:szCs w:val="21"/>
              </w:rPr>
            </w:pPr>
            <w:r w:rsidRPr="007E59B0">
              <w:rPr>
                <w:rFonts w:ascii="Times New Roman" w:hAnsi="Times New Roman" w:cs="Times New Roman"/>
              </w:rPr>
              <w:t>максимальный срок, в течение которого недвижимое имущество, составляющее фонд, должно быть застраховано, но не более 30 дней с даты включения недвижимого имущества в состав имущества фонда;</w:t>
            </w:r>
          </w:p>
          <w:p w:rsidR="001F2767" w:rsidRPr="007E59B0" w:rsidRDefault="001F2767" w:rsidP="00F51042">
            <w:pPr>
              <w:ind w:firstLine="540"/>
              <w:jc w:val="both"/>
              <w:rPr>
                <w:rFonts w:ascii="Times New Roman" w:hAnsi="Times New Roman" w:cs="Times New Roman"/>
                <w:sz w:val="21"/>
                <w:szCs w:val="21"/>
              </w:rPr>
            </w:pPr>
            <w:r w:rsidRPr="007E59B0">
              <w:rPr>
                <w:rFonts w:ascii="Times New Roman" w:hAnsi="Times New Roman" w:cs="Times New Roman"/>
              </w:rPr>
              <w:t>максимальный срок, в течение которого в договор страхования должны быть внесены изменения (заключен новый договор страхования) в случае несоответствия страховой суммы, указанной в договоре, требованиям настоящих Правил вследствие увеличения оценочной стоимости недвижимого имущества, но не более 30 дней с даты увеличения оценочной стоимости недвижимого имущества.</w:t>
            </w:r>
          </w:p>
          <w:p w:rsidR="001F2767" w:rsidRPr="007E59B0" w:rsidRDefault="001F2767" w:rsidP="00F51042">
            <w:pPr>
              <w:ind w:firstLine="540"/>
              <w:jc w:val="both"/>
              <w:rPr>
                <w:rFonts w:ascii="Times New Roman" w:hAnsi="Times New Roman" w:cs="Times New Roman"/>
                <w:sz w:val="21"/>
                <w:szCs w:val="21"/>
              </w:rPr>
            </w:pPr>
            <w:r w:rsidRPr="007E59B0">
              <w:rPr>
                <w:rFonts w:ascii="Times New Roman" w:hAnsi="Times New Roman" w:cs="Times New Roman"/>
              </w:rPr>
              <w:t>Управляющая компания вправе возложить обязанность, предусмотренную настоящим подпунктом, на арендатора недвижимого имущества (абзац может не включаться). Подпункт может не включаться, если инвестиционные паи предназначены для квалифицированных инвесторов);</w:t>
            </w:r>
          </w:p>
          <w:p w:rsidR="001F2767" w:rsidRPr="007E59B0" w:rsidRDefault="001F2767" w:rsidP="00F51042">
            <w:pPr>
              <w:ind w:firstLine="540"/>
              <w:jc w:val="both"/>
              <w:rPr>
                <w:rFonts w:ascii="Times New Roman" w:hAnsi="Times New Roman" w:cs="Times New Roman"/>
                <w:sz w:val="21"/>
                <w:szCs w:val="21"/>
              </w:rPr>
            </w:pPr>
            <w:r w:rsidRPr="007E59B0">
              <w:rPr>
                <w:rFonts w:ascii="Times New Roman" w:hAnsi="Times New Roman" w:cs="Times New Roman"/>
              </w:rPr>
              <w:t>7) страховать _________________ (указывается имущество, в которое инвестиционная декларация фонда предусматривает инвестирование, кроме зданий, сооружений, помещений, а также имущественных прав. При этом указываются риски, подлежащие страхованию, и минимальная страховая сумма. Подпункт может не включаться);</w:t>
            </w:r>
          </w:p>
          <w:p w:rsidR="001F2767" w:rsidRPr="007E59B0" w:rsidRDefault="001F2767" w:rsidP="00F51042">
            <w:pPr>
              <w:ind w:firstLine="540"/>
              <w:jc w:val="both"/>
              <w:rPr>
                <w:rFonts w:ascii="Times New Roman" w:hAnsi="Times New Roman" w:cs="Times New Roman"/>
                <w:sz w:val="21"/>
                <w:szCs w:val="21"/>
              </w:rPr>
            </w:pPr>
            <w:r w:rsidRPr="007E59B0">
              <w:rPr>
                <w:rFonts w:ascii="Times New Roman" w:hAnsi="Times New Roman" w:cs="Times New Roman"/>
              </w:rPr>
              <w:t>8) раскрывать информацию о дате составления списка владельцев инвестиционных паев для осуществления ими своих прав, а также для частичного погашения инвестиционных паев без заявления ими требований об их погашении, если правилами предусмотрена возможность частичного погашения инвестиционных паев без заявления владельцем инвестиционных паев требования об их погашении, не позднее 3 рабочих дней до даты составления указанного списка (подпункт включается, если правилами не предусмотрено, что инвестиционные паи предназначены для квалифицированных инвесторов);</w:t>
            </w:r>
          </w:p>
          <w:p w:rsidR="001F2767" w:rsidRPr="007E59B0" w:rsidRDefault="001F2767" w:rsidP="00F51042">
            <w:pPr>
              <w:ind w:firstLine="540"/>
              <w:jc w:val="both"/>
              <w:rPr>
                <w:rFonts w:ascii="Times New Roman" w:hAnsi="Times New Roman" w:cs="Times New Roman"/>
                <w:sz w:val="21"/>
                <w:szCs w:val="21"/>
              </w:rPr>
            </w:pPr>
            <w:r w:rsidRPr="007E59B0">
              <w:rPr>
                <w:rFonts w:ascii="Times New Roman" w:hAnsi="Times New Roman" w:cs="Times New Roman"/>
              </w:rPr>
              <w:t xml:space="preserve">9) предоставлять владельцам инвестиционных паев информацию о дате составления списка владельцев инвестиционных паев для осуществления ими своих прав, а также для частичного погашения инвестиционных паев без заявления ими требований об их погашении, если правилами предусмотрена возможность частичного погашения инвестиционных паев без заявления владельцем инвестиционных паев требования об их погашении не позднее 3 рабочих дней до даты составления указанного списка. При этом ____________________________ (указывается порядок предоставления указанной в настоящем подпункте </w:t>
            </w:r>
            <w:r w:rsidRPr="007E59B0">
              <w:rPr>
                <w:rFonts w:ascii="Times New Roman" w:hAnsi="Times New Roman" w:cs="Times New Roman"/>
              </w:rPr>
              <w:lastRenderedPageBreak/>
              <w:t>информации) (подпункт включается, если инвестиционные паи предназначены для квалифицированных инвесторов);</w:t>
            </w:r>
          </w:p>
          <w:p w:rsidR="001F2767" w:rsidRPr="007E59B0" w:rsidRDefault="001F2767" w:rsidP="00F51042">
            <w:pPr>
              <w:ind w:firstLine="540"/>
              <w:jc w:val="both"/>
              <w:rPr>
                <w:rFonts w:ascii="Times New Roman" w:hAnsi="Times New Roman" w:cs="Times New Roman"/>
                <w:sz w:val="21"/>
                <w:szCs w:val="21"/>
              </w:rPr>
            </w:pPr>
            <w:r w:rsidRPr="007E59B0">
              <w:rPr>
                <w:rFonts w:ascii="Times New Roman" w:hAnsi="Times New Roman" w:cs="Times New Roman"/>
              </w:rPr>
              <w:t>10) раскрывать отчеты, требования к которым устанавливаются федеральным органом исполнительной власти по рынку ценных бумаг.</w:t>
            </w:r>
          </w:p>
        </w:tc>
        <w:tc>
          <w:tcPr>
            <w:tcW w:w="7938" w:type="dxa"/>
          </w:tcPr>
          <w:p w:rsidR="001F2767" w:rsidRPr="007E59B0" w:rsidRDefault="001F2767" w:rsidP="00F51042">
            <w:pPr>
              <w:tabs>
                <w:tab w:val="left" w:pos="913"/>
              </w:tabs>
              <w:ind w:firstLine="540"/>
              <w:jc w:val="both"/>
              <w:rPr>
                <w:rFonts w:ascii="Times New Roman" w:hAnsi="Times New Roman" w:cs="Times New Roman"/>
                <w:sz w:val="21"/>
                <w:szCs w:val="21"/>
              </w:rPr>
            </w:pPr>
            <w:r w:rsidRPr="007E59B0">
              <w:rPr>
                <w:rFonts w:ascii="Times New Roman" w:hAnsi="Times New Roman" w:cs="Times New Roman"/>
              </w:rPr>
              <w:lastRenderedPageBreak/>
              <w:t>Управляющая компания обязана:</w:t>
            </w:r>
          </w:p>
          <w:p w:rsidR="00C35056" w:rsidRDefault="001F2767" w:rsidP="00C35056">
            <w:pPr>
              <w:pStyle w:val="af4"/>
              <w:numPr>
                <w:ilvl w:val="0"/>
                <w:numId w:val="1"/>
              </w:numPr>
              <w:tabs>
                <w:tab w:val="left" w:pos="913"/>
              </w:tabs>
              <w:ind w:left="0" w:firstLine="540"/>
              <w:jc w:val="both"/>
              <w:rPr>
                <w:rFonts w:ascii="Times New Roman" w:hAnsi="Times New Roman" w:cs="Times New Roman"/>
              </w:rPr>
            </w:pPr>
            <w:r w:rsidRPr="007E59B0">
              <w:rPr>
                <w:rFonts w:ascii="Times New Roman" w:hAnsi="Times New Roman" w:cs="Times New Roman"/>
              </w:rPr>
              <w:t xml:space="preserve">осуществлять доверительное управление фондом в соответствии с Федеральным </w:t>
            </w:r>
            <w:hyperlink r:id="rId9" w:history="1">
              <w:r w:rsidRPr="007E59B0">
                <w:rPr>
                  <w:rStyle w:val="ac"/>
                  <w:rFonts w:ascii="Times New Roman" w:hAnsi="Times New Roman" w:cs="Times New Roman"/>
                  <w:color w:val="auto"/>
                  <w:u w:val="none"/>
                </w:rPr>
                <w:t>законом</w:t>
              </w:r>
            </w:hyperlink>
            <w:r w:rsidRPr="007E59B0">
              <w:rPr>
                <w:rFonts w:ascii="Times New Roman" w:hAnsi="Times New Roman" w:cs="Times New Roman"/>
              </w:rPr>
              <w:t xml:space="preserve"> «Об инвестиционных фондах», другими федеральными законами, нормативными правовыми актами федерального органа исполнительной власти по рынку ценных бумаг и настоящими Правилами;</w:t>
            </w:r>
          </w:p>
          <w:p w:rsidR="001F2767" w:rsidRPr="00C35056" w:rsidRDefault="001F2767" w:rsidP="00C35056">
            <w:pPr>
              <w:pStyle w:val="af4"/>
              <w:tabs>
                <w:tab w:val="left" w:pos="913"/>
              </w:tabs>
              <w:ind w:left="63" w:firstLine="425"/>
              <w:jc w:val="both"/>
              <w:rPr>
                <w:rFonts w:ascii="Times New Roman" w:hAnsi="Times New Roman" w:cs="Times New Roman"/>
              </w:rPr>
            </w:pPr>
            <w:bookmarkStart w:id="0" w:name="_GoBack"/>
            <w:bookmarkEnd w:id="0"/>
            <w:r w:rsidRPr="00C35056">
              <w:rPr>
                <w:rFonts w:ascii="Times New Roman" w:hAnsi="Times New Roman" w:cs="Times New Roman"/>
                <w:b/>
              </w:rPr>
              <w:t xml:space="preserve">1.1) </w:t>
            </w:r>
            <w:r w:rsidR="004D4464" w:rsidRPr="00C35056">
              <w:rPr>
                <w:rFonts w:ascii="Times New Roman" w:hAnsi="Times New Roman" w:cs="Times New Roman"/>
                <w:b/>
              </w:rPr>
              <w:t>при осуществлении доверительного управления</w:t>
            </w:r>
            <w:r w:rsidR="00F8062E" w:rsidRPr="00C35056">
              <w:rPr>
                <w:rFonts w:ascii="Times New Roman" w:hAnsi="Times New Roman" w:cs="Times New Roman"/>
                <w:b/>
              </w:rPr>
              <w:t xml:space="preserve"> фондом</w:t>
            </w:r>
            <w:r w:rsidRPr="00C35056">
              <w:rPr>
                <w:rFonts w:ascii="Times New Roman" w:eastAsia="Times New Roman" w:hAnsi="Times New Roman" w:cs="Times New Roman"/>
                <w:b/>
                <w:lang w:eastAsia="ru-RU"/>
              </w:rPr>
              <w:t xml:space="preserve">выявлять конфликт интересов и управлять конфликтом интересов, в том числе путем предотвращения возникновения конфликта интересов </w:t>
            </w:r>
            <w:r w:rsidR="0065051E" w:rsidRPr="00C35056">
              <w:rPr>
                <w:rFonts w:ascii="Times New Roman" w:eastAsia="Times New Roman" w:hAnsi="Times New Roman" w:cs="Times New Roman"/>
                <w:b/>
                <w:lang w:eastAsia="ru-RU"/>
              </w:rPr>
              <w:t>и (или) раскрытия или предоставления информации о конфликте интересов</w:t>
            </w:r>
            <w:r w:rsidRPr="00C35056">
              <w:rPr>
                <w:rFonts w:ascii="Times New Roman" w:eastAsia="Times New Roman" w:hAnsi="Times New Roman" w:cs="Times New Roman"/>
                <w:b/>
                <w:lang w:eastAsia="ru-RU"/>
              </w:rPr>
              <w:t>;</w:t>
            </w:r>
          </w:p>
          <w:p w:rsidR="001F2767" w:rsidRPr="007E59B0" w:rsidRDefault="001F2767" w:rsidP="00F51042">
            <w:pPr>
              <w:tabs>
                <w:tab w:val="left" w:pos="913"/>
              </w:tabs>
              <w:ind w:firstLine="540"/>
              <w:jc w:val="both"/>
              <w:rPr>
                <w:rFonts w:ascii="Times New Roman" w:hAnsi="Times New Roman" w:cs="Times New Roman"/>
                <w:sz w:val="21"/>
                <w:szCs w:val="21"/>
              </w:rPr>
            </w:pPr>
            <w:r w:rsidRPr="007E59B0">
              <w:rPr>
                <w:rFonts w:ascii="Times New Roman" w:hAnsi="Times New Roman" w:cs="Times New Roman"/>
              </w:rPr>
              <w:t>2) при осуществлении доверительного управления фондом действовать разумно и добросовестно в интересах владельцев инвестиционных паев;</w:t>
            </w:r>
          </w:p>
          <w:p w:rsidR="001F2767" w:rsidRPr="007E59B0" w:rsidRDefault="001F2767" w:rsidP="00F51042">
            <w:pPr>
              <w:tabs>
                <w:tab w:val="left" w:pos="913"/>
              </w:tabs>
              <w:ind w:firstLine="540"/>
              <w:jc w:val="both"/>
              <w:rPr>
                <w:rFonts w:ascii="Times New Roman" w:hAnsi="Times New Roman" w:cs="Times New Roman"/>
                <w:sz w:val="21"/>
                <w:szCs w:val="21"/>
              </w:rPr>
            </w:pPr>
            <w:r w:rsidRPr="007E59B0">
              <w:rPr>
                <w:rFonts w:ascii="Times New Roman" w:hAnsi="Times New Roman" w:cs="Times New Roman"/>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правовыми актами федерального органа исполнительной власти по рынку ценных бумаг, не предусмотрено иное;</w:t>
            </w:r>
          </w:p>
          <w:p w:rsidR="001F2767" w:rsidRPr="007E59B0" w:rsidRDefault="001F2767" w:rsidP="00F51042">
            <w:pPr>
              <w:tabs>
                <w:tab w:val="left" w:pos="913"/>
              </w:tabs>
              <w:ind w:firstLine="540"/>
              <w:jc w:val="both"/>
              <w:rPr>
                <w:rFonts w:ascii="Times New Roman" w:hAnsi="Times New Roman" w:cs="Times New Roman"/>
                <w:sz w:val="21"/>
                <w:szCs w:val="21"/>
              </w:rPr>
            </w:pPr>
            <w:r w:rsidRPr="007E59B0">
              <w:rPr>
                <w:rFonts w:ascii="Times New Roman" w:hAnsi="Times New Roman" w:cs="Times New Roman"/>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1F2767" w:rsidRPr="007E59B0" w:rsidRDefault="001F2767" w:rsidP="00F51042">
            <w:pPr>
              <w:tabs>
                <w:tab w:val="left" w:pos="913"/>
              </w:tabs>
              <w:ind w:firstLine="540"/>
              <w:jc w:val="both"/>
              <w:rPr>
                <w:rFonts w:ascii="Times New Roman" w:hAnsi="Times New Roman" w:cs="Times New Roman"/>
                <w:sz w:val="21"/>
                <w:szCs w:val="21"/>
              </w:rPr>
            </w:pPr>
            <w:r w:rsidRPr="007E59B0">
              <w:rPr>
                <w:rFonts w:ascii="Times New Roman" w:hAnsi="Times New Roman" w:cs="Times New Roman"/>
              </w:rPr>
              <w:t>5) передавать специализированному депозитарию подлинные экземпляры документов, подтверждающих права на недвижимое имущество (подпункт включается, если инвестиционная декларация фонда предусматривает инвестирование в объекты недвижимого имущества и (или) права на недвижимое имущество);</w:t>
            </w:r>
          </w:p>
          <w:p w:rsidR="001F2767" w:rsidRPr="007E59B0" w:rsidRDefault="001F2767" w:rsidP="00F51042">
            <w:pPr>
              <w:tabs>
                <w:tab w:val="left" w:pos="913"/>
              </w:tabs>
              <w:ind w:firstLine="540"/>
              <w:jc w:val="both"/>
              <w:rPr>
                <w:rFonts w:ascii="Times New Roman" w:hAnsi="Times New Roman" w:cs="Times New Roman"/>
                <w:sz w:val="21"/>
                <w:szCs w:val="21"/>
              </w:rPr>
            </w:pPr>
            <w:r w:rsidRPr="007E59B0">
              <w:rPr>
                <w:rFonts w:ascii="Times New Roman" w:hAnsi="Times New Roman" w:cs="Times New Roman"/>
              </w:rPr>
              <w:t>6) страховать здания, сооружения, помещения, составляющие фонд, от рисков их утраты и повреждения _________________ (подпункт включается, если инвестиционная декларация фонда предусматривает инвестирование в указанное недвижимое имущество. При этом указываются:</w:t>
            </w:r>
          </w:p>
          <w:p w:rsidR="001F2767" w:rsidRPr="007E59B0" w:rsidRDefault="001F2767" w:rsidP="00F51042">
            <w:pPr>
              <w:tabs>
                <w:tab w:val="left" w:pos="913"/>
              </w:tabs>
              <w:ind w:firstLine="540"/>
              <w:jc w:val="both"/>
              <w:rPr>
                <w:rFonts w:ascii="Times New Roman" w:hAnsi="Times New Roman" w:cs="Times New Roman"/>
                <w:sz w:val="21"/>
                <w:szCs w:val="21"/>
              </w:rPr>
            </w:pPr>
            <w:r w:rsidRPr="007E59B0">
              <w:rPr>
                <w:rFonts w:ascii="Times New Roman" w:hAnsi="Times New Roman" w:cs="Times New Roman"/>
              </w:rPr>
              <w:t>минимальная страховая сумма, которая не может быть меньше 50 процентов оценочной стоимости объекта недвижимого имущества на дату заключения договора страхования;</w:t>
            </w:r>
          </w:p>
          <w:p w:rsidR="001F2767" w:rsidRPr="007E59B0" w:rsidRDefault="001F2767" w:rsidP="00F51042">
            <w:pPr>
              <w:ind w:firstLine="540"/>
              <w:jc w:val="both"/>
              <w:rPr>
                <w:rFonts w:ascii="Times New Roman" w:hAnsi="Times New Roman" w:cs="Times New Roman"/>
                <w:sz w:val="21"/>
                <w:szCs w:val="21"/>
              </w:rPr>
            </w:pPr>
            <w:r w:rsidRPr="007E59B0">
              <w:rPr>
                <w:rFonts w:ascii="Times New Roman" w:hAnsi="Times New Roman" w:cs="Times New Roman"/>
              </w:rPr>
              <w:lastRenderedPageBreak/>
              <w:t>максимальный размер частичного освобождения страховщика от выплаты страхового возмещения (франшизы), который не может быть больше 1 процента страховой суммы;</w:t>
            </w:r>
          </w:p>
          <w:p w:rsidR="001F2767" w:rsidRPr="007E59B0" w:rsidRDefault="001F2767" w:rsidP="00F51042">
            <w:pPr>
              <w:ind w:firstLine="540"/>
              <w:jc w:val="both"/>
              <w:rPr>
                <w:rFonts w:ascii="Times New Roman" w:hAnsi="Times New Roman" w:cs="Times New Roman"/>
                <w:sz w:val="21"/>
                <w:szCs w:val="21"/>
              </w:rPr>
            </w:pPr>
            <w:r w:rsidRPr="007E59B0">
              <w:rPr>
                <w:rFonts w:ascii="Times New Roman" w:hAnsi="Times New Roman" w:cs="Times New Roman"/>
              </w:rPr>
              <w:t>максимальный срок, в течение которого недвижимое имущество, составляющее фонд, должно быть застраховано, но не более 30 дней с даты включения недвижимого имущества в состав имущества фонда;</w:t>
            </w:r>
          </w:p>
          <w:p w:rsidR="001F2767" w:rsidRPr="007E59B0" w:rsidRDefault="001F2767" w:rsidP="00F51042">
            <w:pPr>
              <w:ind w:firstLine="540"/>
              <w:jc w:val="both"/>
              <w:rPr>
                <w:rFonts w:ascii="Times New Roman" w:hAnsi="Times New Roman" w:cs="Times New Roman"/>
                <w:sz w:val="21"/>
                <w:szCs w:val="21"/>
              </w:rPr>
            </w:pPr>
            <w:r w:rsidRPr="007E59B0">
              <w:rPr>
                <w:rFonts w:ascii="Times New Roman" w:hAnsi="Times New Roman" w:cs="Times New Roman"/>
              </w:rPr>
              <w:t>максимальный срок, в течение которого в договор страхования должны быть внесены изменения (заключен новый договор страхования) в случае несоответствия страховой суммы, указанной в договоре, требованиям настоящих Правил вследствие увеличения оценочной стоимости недвижимого имущества, но не более 30 дней с даты увеличения оценочной стоимости недвижимого имущества.</w:t>
            </w:r>
          </w:p>
          <w:p w:rsidR="001F2767" w:rsidRPr="007E59B0" w:rsidRDefault="001F2767" w:rsidP="00F51042">
            <w:pPr>
              <w:ind w:firstLine="540"/>
              <w:jc w:val="both"/>
              <w:rPr>
                <w:rFonts w:ascii="Times New Roman" w:hAnsi="Times New Roman" w:cs="Times New Roman"/>
                <w:sz w:val="21"/>
                <w:szCs w:val="21"/>
              </w:rPr>
            </w:pPr>
            <w:r w:rsidRPr="007E59B0">
              <w:rPr>
                <w:rFonts w:ascii="Times New Roman" w:hAnsi="Times New Roman" w:cs="Times New Roman"/>
              </w:rPr>
              <w:t>Управляющая компания вправе возложить обязанность, предусмотренную настоящим подпунктом, на арендатора недвижимого имущества (абзац может не включаться). Подпункт может не включаться, если инвестиционные паи предназначены для квалифицированных инвесторов);</w:t>
            </w:r>
          </w:p>
          <w:p w:rsidR="001F2767" w:rsidRPr="007E59B0" w:rsidRDefault="001F2767" w:rsidP="00F51042">
            <w:pPr>
              <w:ind w:firstLine="540"/>
              <w:jc w:val="both"/>
              <w:rPr>
                <w:rFonts w:ascii="Times New Roman" w:hAnsi="Times New Roman" w:cs="Times New Roman"/>
                <w:sz w:val="21"/>
                <w:szCs w:val="21"/>
              </w:rPr>
            </w:pPr>
            <w:r w:rsidRPr="007E59B0">
              <w:rPr>
                <w:rFonts w:ascii="Times New Roman" w:hAnsi="Times New Roman" w:cs="Times New Roman"/>
              </w:rPr>
              <w:t>7) страховать _________________ (указывается имущество, в которое инвестиционная декларация фонда предусматривает инвестирование, кроме зданий, сооружений, помещений, а также имущественных прав. При этом указываются риски, подлежащие страхованию, и минимальная страховая сумма. Подпункт может не включаться);</w:t>
            </w:r>
          </w:p>
          <w:p w:rsidR="001F2767" w:rsidRPr="007E59B0" w:rsidRDefault="001F2767" w:rsidP="00F51042">
            <w:pPr>
              <w:ind w:firstLine="540"/>
              <w:jc w:val="both"/>
              <w:rPr>
                <w:rFonts w:ascii="Times New Roman" w:hAnsi="Times New Roman" w:cs="Times New Roman"/>
                <w:sz w:val="21"/>
                <w:szCs w:val="21"/>
              </w:rPr>
            </w:pPr>
            <w:r w:rsidRPr="007E59B0">
              <w:rPr>
                <w:rFonts w:ascii="Times New Roman" w:hAnsi="Times New Roman" w:cs="Times New Roman"/>
              </w:rPr>
              <w:t>8) раскрывать информацию о дате составления списка владельцев инвестиционных паев для осуществления ими своих прав, а также для частичного погашения инвестиционных паев без заявления ими требований об их погашении, если правилами предусмотрена возможность частичного погашения инвестиционных паев без заявления владельцем инвестиционных паев требования об их погашении, не позднее 3 рабочих дней до даты составления указанного списка (подпункт включается, если правилами не предусмотрено, что инвестиционные паи предназначены для квалифицированных инвесторов);</w:t>
            </w:r>
          </w:p>
          <w:p w:rsidR="001F2767" w:rsidRPr="007E59B0" w:rsidRDefault="001F2767" w:rsidP="00F51042">
            <w:pPr>
              <w:ind w:firstLine="540"/>
              <w:jc w:val="both"/>
              <w:rPr>
                <w:rFonts w:ascii="Times New Roman" w:hAnsi="Times New Roman" w:cs="Times New Roman"/>
                <w:sz w:val="21"/>
                <w:szCs w:val="21"/>
              </w:rPr>
            </w:pPr>
            <w:r w:rsidRPr="007E59B0">
              <w:rPr>
                <w:rFonts w:ascii="Times New Roman" w:hAnsi="Times New Roman" w:cs="Times New Roman"/>
              </w:rPr>
              <w:t>9) предоставлять владельцам инвестиционных паев информацию о дате составления списка владельцев инвестиционных паев для осуществления ими своих прав, а также для частичного погашения инвестиционных паев без заявления ими требований об их погашении, если правилами предусмотрена возможность частичного погашения инвестиционных паев без заявления владельцем инвестиционных паев требования об их погашении не позднее 3 рабочих дней до даты составления указанного списка. При этом ____________________________ (указывается порядок предоставления указанной в настоящем подпункте информации) (подпункт включается, если инвестиционные паи предназначены для квалифицированных инвесторов);</w:t>
            </w:r>
          </w:p>
          <w:p w:rsidR="001F2767" w:rsidRPr="007E59B0" w:rsidRDefault="001F2767" w:rsidP="00F51042">
            <w:pPr>
              <w:ind w:firstLine="540"/>
              <w:jc w:val="both"/>
              <w:rPr>
                <w:rFonts w:ascii="Times New Roman" w:hAnsi="Times New Roman" w:cs="Times New Roman"/>
                <w:sz w:val="21"/>
                <w:szCs w:val="21"/>
              </w:rPr>
            </w:pPr>
            <w:r w:rsidRPr="007E59B0">
              <w:rPr>
                <w:rFonts w:ascii="Times New Roman" w:hAnsi="Times New Roman" w:cs="Times New Roman"/>
              </w:rPr>
              <w:lastRenderedPageBreak/>
              <w:t>10) раскрывать отчеты, требования к которым устанавливаются федеральным органом исполнительной власти по рынку ценных бумаг.</w:t>
            </w:r>
          </w:p>
        </w:tc>
      </w:tr>
      <w:tr w:rsidR="00E56AB2" w:rsidRPr="00C75CB5" w:rsidTr="00CD4170">
        <w:trPr>
          <w:trHeight w:val="1218"/>
        </w:trPr>
        <w:tc>
          <w:tcPr>
            <w:tcW w:w="993" w:type="dxa"/>
          </w:tcPr>
          <w:p w:rsidR="00E56AB2" w:rsidRPr="00C75CB5" w:rsidRDefault="00E56AB2" w:rsidP="00C75CB5">
            <w:pPr>
              <w:jc w:val="center"/>
              <w:rPr>
                <w:rFonts w:ascii="Times New Roman" w:hAnsi="Times New Roman" w:cs="Times New Roman"/>
                <w:b/>
                <w:sz w:val="24"/>
                <w:szCs w:val="24"/>
              </w:rPr>
            </w:pPr>
            <w:r w:rsidRPr="00C75CB5">
              <w:rPr>
                <w:rFonts w:ascii="Times New Roman" w:hAnsi="Times New Roman" w:cs="Times New Roman"/>
                <w:b/>
                <w:sz w:val="24"/>
                <w:szCs w:val="24"/>
              </w:rPr>
              <w:lastRenderedPageBreak/>
              <w:t>33</w:t>
            </w:r>
          </w:p>
        </w:tc>
        <w:tc>
          <w:tcPr>
            <w:tcW w:w="7371" w:type="dxa"/>
          </w:tcPr>
          <w:p w:rsidR="00E56AB2" w:rsidRPr="00E260FA" w:rsidRDefault="00E56AB2" w:rsidP="00E260FA">
            <w:pPr>
              <w:ind w:firstLine="540"/>
              <w:jc w:val="both"/>
              <w:rPr>
                <w:rFonts w:ascii="Times New Roman" w:hAnsi="Times New Roman" w:cs="Times New Roman"/>
                <w:sz w:val="21"/>
                <w:szCs w:val="21"/>
              </w:rPr>
            </w:pPr>
            <w:r w:rsidRPr="00E260FA">
              <w:rPr>
                <w:rFonts w:ascii="Times New Roman" w:hAnsi="Times New Roman" w:cs="Times New Roman"/>
              </w:rPr>
              <w:t xml:space="preserve">Ограничения на совершение сделок с ценными бумагами, установленные </w:t>
            </w:r>
            <w:hyperlink r:id="rId10" w:history="1">
              <w:r w:rsidRPr="00E260FA">
                <w:rPr>
                  <w:rStyle w:val="ac"/>
                  <w:rFonts w:ascii="Times New Roman" w:hAnsi="Times New Roman" w:cs="Times New Roman"/>
                  <w:color w:val="auto"/>
                  <w:u w:val="none"/>
                </w:rPr>
                <w:t>абзацами восьмым</w:t>
              </w:r>
            </w:hyperlink>
            <w:r w:rsidRPr="00E260FA">
              <w:rPr>
                <w:rFonts w:ascii="Times New Roman" w:hAnsi="Times New Roman" w:cs="Times New Roman"/>
              </w:rPr>
              <w:t xml:space="preserve">, </w:t>
            </w:r>
            <w:hyperlink r:id="rId11" w:history="1">
              <w:r w:rsidRPr="00E260FA">
                <w:rPr>
                  <w:rStyle w:val="ac"/>
                  <w:rFonts w:ascii="Times New Roman" w:hAnsi="Times New Roman" w:cs="Times New Roman"/>
                  <w:color w:val="auto"/>
                  <w:u w:val="none"/>
                </w:rPr>
                <w:t>девятым</w:t>
              </w:r>
            </w:hyperlink>
            <w:r w:rsidRPr="00E260FA">
              <w:rPr>
                <w:rFonts w:ascii="Times New Roman" w:hAnsi="Times New Roman" w:cs="Times New Roman"/>
              </w:rPr>
              <w:t xml:space="preserve">, </w:t>
            </w:r>
            <w:hyperlink r:id="rId12" w:history="1">
              <w:r w:rsidRPr="00E260FA">
                <w:rPr>
                  <w:rStyle w:val="ac"/>
                  <w:rFonts w:ascii="Times New Roman" w:hAnsi="Times New Roman" w:cs="Times New Roman"/>
                  <w:color w:val="auto"/>
                  <w:u w:val="none"/>
                </w:rPr>
                <w:t>одиннадцатым</w:t>
              </w:r>
            </w:hyperlink>
            <w:r w:rsidRPr="00E260FA">
              <w:rPr>
                <w:rFonts w:ascii="Times New Roman" w:hAnsi="Times New Roman" w:cs="Times New Roman"/>
              </w:rPr>
              <w:t xml:space="preserve"> и </w:t>
            </w:r>
            <w:hyperlink r:id="rId13" w:history="1">
              <w:r w:rsidRPr="00E260FA">
                <w:rPr>
                  <w:rStyle w:val="ac"/>
                  <w:rFonts w:ascii="Times New Roman" w:hAnsi="Times New Roman" w:cs="Times New Roman"/>
                  <w:color w:val="auto"/>
                  <w:u w:val="none"/>
                </w:rPr>
                <w:t>двенадцатым подпункта 5 пункта 32</w:t>
              </w:r>
            </w:hyperlink>
            <w:r w:rsidRPr="00E260FA">
              <w:rPr>
                <w:rFonts w:ascii="Times New Roman" w:hAnsi="Times New Roman" w:cs="Times New Roman"/>
              </w:rPr>
              <w:t xml:space="preserve"> настоящих Правил, не применяются, если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 (пункт включается, если инвестиционная декларация фонда предусматривает инвестирование в ценные бумаги, обращающиеся на организованных торгах).</w:t>
            </w:r>
          </w:p>
        </w:tc>
        <w:tc>
          <w:tcPr>
            <w:tcW w:w="7938" w:type="dxa"/>
            <w:vMerge w:val="restart"/>
          </w:tcPr>
          <w:p w:rsidR="00E56AB2" w:rsidRPr="00370C79" w:rsidRDefault="00E56AB2" w:rsidP="00E260FA">
            <w:pPr>
              <w:ind w:firstLine="540"/>
              <w:jc w:val="both"/>
              <w:rPr>
                <w:rFonts w:ascii="Times New Roman" w:hAnsi="Times New Roman" w:cs="Times New Roman"/>
                <w:b/>
                <w:sz w:val="21"/>
                <w:szCs w:val="21"/>
              </w:rPr>
            </w:pPr>
            <w:r>
              <w:rPr>
                <w:rFonts w:ascii="Times New Roman" w:hAnsi="Times New Roman" w:cs="Times New Roman"/>
                <w:b/>
              </w:rPr>
              <w:t xml:space="preserve">33. </w:t>
            </w:r>
            <w:r w:rsidRPr="00370C79">
              <w:rPr>
                <w:rFonts w:ascii="Times New Roman" w:hAnsi="Times New Roman" w:cs="Times New Roman"/>
                <w:b/>
              </w:rPr>
              <w:t xml:space="preserve">Ограничения  на  совершение сделок, установленные абзацами восьмым </w:t>
            </w:r>
            <w:r>
              <w:rPr>
                <w:rFonts w:ascii="Times New Roman" w:hAnsi="Times New Roman" w:cs="Times New Roman"/>
                <w:b/>
              </w:rPr>
              <w:t xml:space="preserve">–двенадцатым и абзацем четырнадцатым </w:t>
            </w:r>
            <w:r w:rsidRPr="00370C79">
              <w:rPr>
                <w:rFonts w:ascii="Times New Roman" w:hAnsi="Times New Roman" w:cs="Times New Roman"/>
                <w:b/>
              </w:rPr>
              <w:t>подпункта 5 пункта 32 настоящих Правил</w:t>
            </w:r>
            <w:r>
              <w:rPr>
                <w:rFonts w:ascii="Times New Roman" w:hAnsi="Times New Roman" w:cs="Times New Roman"/>
                <w:b/>
              </w:rPr>
              <w:t>,</w:t>
            </w:r>
            <w:r w:rsidRPr="00392F58">
              <w:rPr>
                <w:rFonts w:ascii="Times New Roman" w:hAnsi="Times New Roman" w:cs="Times New Roman"/>
                <w:b/>
              </w:rPr>
              <w:t xml:space="preserve">при осуществлении доверительного управления фондом </w:t>
            </w:r>
            <w:r w:rsidRPr="00370C79">
              <w:rPr>
                <w:rFonts w:ascii="Times New Roman" w:hAnsi="Times New Roman" w:cs="Times New Roman"/>
                <w:b/>
              </w:rPr>
              <w:t>не  приме</w:t>
            </w:r>
            <w:r>
              <w:rPr>
                <w:rFonts w:ascii="Times New Roman" w:hAnsi="Times New Roman" w:cs="Times New Roman"/>
                <w:b/>
              </w:rPr>
              <w:t>няются.</w:t>
            </w:r>
          </w:p>
        </w:tc>
      </w:tr>
      <w:tr w:rsidR="00E56AB2" w:rsidRPr="00C75CB5" w:rsidTr="00CD4170">
        <w:trPr>
          <w:trHeight w:val="1218"/>
        </w:trPr>
        <w:tc>
          <w:tcPr>
            <w:tcW w:w="993" w:type="dxa"/>
          </w:tcPr>
          <w:p w:rsidR="00E56AB2" w:rsidRPr="00C75CB5" w:rsidRDefault="00E56AB2" w:rsidP="00C75CB5">
            <w:pPr>
              <w:jc w:val="center"/>
              <w:rPr>
                <w:rFonts w:ascii="Times New Roman" w:hAnsi="Times New Roman" w:cs="Times New Roman"/>
                <w:b/>
                <w:sz w:val="24"/>
                <w:szCs w:val="24"/>
              </w:rPr>
            </w:pPr>
            <w:r>
              <w:rPr>
                <w:rFonts w:ascii="Times New Roman" w:hAnsi="Times New Roman" w:cs="Times New Roman"/>
                <w:b/>
                <w:sz w:val="24"/>
                <w:szCs w:val="24"/>
              </w:rPr>
              <w:t>34</w:t>
            </w:r>
          </w:p>
        </w:tc>
        <w:tc>
          <w:tcPr>
            <w:tcW w:w="7371" w:type="dxa"/>
          </w:tcPr>
          <w:p w:rsidR="00E56AB2" w:rsidRPr="00E56AB2" w:rsidRDefault="00E56AB2" w:rsidP="00E56AB2">
            <w:pPr>
              <w:ind w:firstLine="540"/>
              <w:jc w:val="both"/>
              <w:rPr>
                <w:rFonts w:ascii="Times New Roman" w:hAnsi="Times New Roman" w:cs="Times New Roman"/>
              </w:rPr>
            </w:pPr>
            <w:r w:rsidRPr="00E56AB2">
              <w:rPr>
                <w:rFonts w:ascii="Times New Roman" w:hAnsi="Times New Roman" w:cs="Times New Roman"/>
              </w:rPr>
              <w:t>Ограничения на совершение сделок, установленные абзацем десятым подпункта 5 пункта 32 настоящих Правил, не применяются, если указанные сделки:</w:t>
            </w:r>
          </w:p>
          <w:p w:rsidR="00E56AB2" w:rsidRPr="00E56AB2" w:rsidRDefault="00E56AB2" w:rsidP="00E56AB2">
            <w:pPr>
              <w:ind w:firstLine="540"/>
              <w:jc w:val="both"/>
              <w:rPr>
                <w:rFonts w:ascii="Times New Roman" w:hAnsi="Times New Roman" w:cs="Times New Roman"/>
              </w:rPr>
            </w:pPr>
            <w:r w:rsidRPr="00E56AB2">
              <w:rPr>
                <w:rFonts w:ascii="Times New Roman" w:hAnsi="Times New Roman" w:cs="Times New Roman"/>
              </w:rPr>
              <w:t>1) совершаются с ценными бумагами, включенными в котировальные списки российских бирж (подпункт включается, если инвестиционная декларация фонда предусматривает инвестирование в ценные бумаги, включенные в котировальные списки российских бирж);</w:t>
            </w:r>
          </w:p>
          <w:p w:rsidR="00E56AB2" w:rsidRPr="00E56AB2" w:rsidRDefault="00E56AB2" w:rsidP="00E56AB2">
            <w:pPr>
              <w:ind w:firstLine="540"/>
              <w:jc w:val="both"/>
              <w:rPr>
                <w:rFonts w:ascii="Times New Roman" w:hAnsi="Times New Roman" w:cs="Times New Roman"/>
              </w:rPr>
            </w:pPr>
            <w:r w:rsidRPr="00E56AB2">
              <w:rPr>
                <w:rFonts w:ascii="Times New Roman" w:hAnsi="Times New Roman" w:cs="Times New Roman"/>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 (подпункт включается, если инвестиционная декларация фонда предусматривает инвестирование в акции и эмиссионные ценные бумаги, конвертируемые в акции);</w:t>
            </w:r>
          </w:p>
          <w:p w:rsidR="00E56AB2" w:rsidRPr="00E260FA" w:rsidRDefault="00E56AB2" w:rsidP="00E56AB2">
            <w:pPr>
              <w:ind w:firstLine="540"/>
              <w:jc w:val="both"/>
              <w:rPr>
                <w:rFonts w:ascii="Times New Roman" w:hAnsi="Times New Roman" w:cs="Times New Roman"/>
              </w:rPr>
            </w:pPr>
            <w:r w:rsidRPr="00E56AB2">
              <w:rPr>
                <w:rFonts w:ascii="Times New Roman" w:hAnsi="Times New Roman" w:cs="Times New Roman"/>
              </w:rPr>
              <w:t>3) являются сделками по приобретению акций (долей) в хозяйственных обществах,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(долей) в имущество, составляющее активы фонда (подпункт включается, если инвестиционная декларация фонда предусматривает инвестирование в акции и (или) доли в хозяйственных обществах).</w:t>
            </w:r>
          </w:p>
        </w:tc>
        <w:tc>
          <w:tcPr>
            <w:tcW w:w="7938" w:type="dxa"/>
            <w:vMerge/>
          </w:tcPr>
          <w:p w:rsidR="00E56AB2" w:rsidRPr="00370C79" w:rsidRDefault="00E56AB2" w:rsidP="00E260FA">
            <w:pPr>
              <w:ind w:firstLine="540"/>
              <w:jc w:val="both"/>
              <w:rPr>
                <w:rFonts w:ascii="Times New Roman" w:hAnsi="Times New Roman" w:cs="Times New Roman"/>
                <w:b/>
              </w:rPr>
            </w:pPr>
          </w:p>
        </w:tc>
      </w:tr>
      <w:tr w:rsidR="00E260FA" w:rsidRPr="00C75CB5" w:rsidTr="00CD4170">
        <w:trPr>
          <w:trHeight w:val="1218"/>
        </w:trPr>
        <w:tc>
          <w:tcPr>
            <w:tcW w:w="993" w:type="dxa"/>
          </w:tcPr>
          <w:p w:rsidR="00E260FA" w:rsidRPr="00C75CB5" w:rsidRDefault="00E260FA" w:rsidP="00E260FA">
            <w:pPr>
              <w:jc w:val="center"/>
              <w:rPr>
                <w:rFonts w:ascii="Times New Roman" w:hAnsi="Times New Roman" w:cs="Times New Roman"/>
                <w:b/>
                <w:sz w:val="24"/>
                <w:szCs w:val="24"/>
              </w:rPr>
            </w:pPr>
            <w:r>
              <w:rPr>
                <w:rFonts w:ascii="Times New Roman" w:hAnsi="Times New Roman" w:cs="Times New Roman"/>
                <w:b/>
                <w:sz w:val="24"/>
                <w:szCs w:val="24"/>
              </w:rPr>
              <w:lastRenderedPageBreak/>
              <w:t>54</w:t>
            </w:r>
          </w:p>
        </w:tc>
        <w:tc>
          <w:tcPr>
            <w:tcW w:w="7371" w:type="dxa"/>
          </w:tcPr>
          <w:p w:rsidR="00E260FA" w:rsidRPr="00E260FA" w:rsidRDefault="00E260FA" w:rsidP="00E260FA">
            <w:pPr>
              <w:ind w:firstLine="540"/>
              <w:jc w:val="both"/>
              <w:rPr>
                <w:rFonts w:ascii="Times New Roman" w:hAnsi="Times New Roman" w:cs="Times New Roman"/>
                <w:sz w:val="21"/>
                <w:szCs w:val="21"/>
              </w:rPr>
            </w:pPr>
            <w:r w:rsidRPr="00E260FA">
              <w:rPr>
                <w:rFonts w:ascii="Times New Roman" w:hAnsi="Times New Roman" w:cs="Times New Roman"/>
              </w:rPr>
              <w:t>Общее собрание владельцев инвестиционных паев принимает решения по вопросам:</w:t>
            </w:r>
          </w:p>
          <w:p w:rsidR="00E260FA" w:rsidRPr="00E260FA" w:rsidRDefault="00E260FA" w:rsidP="00E260FA">
            <w:pPr>
              <w:ind w:firstLine="540"/>
              <w:jc w:val="both"/>
              <w:rPr>
                <w:rFonts w:ascii="Times New Roman" w:hAnsi="Times New Roman" w:cs="Times New Roman"/>
                <w:sz w:val="21"/>
                <w:szCs w:val="21"/>
              </w:rPr>
            </w:pPr>
            <w:r w:rsidRPr="00E260FA">
              <w:rPr>
                <w:rFonts w:ascii="Times New Roman" w:hAnsi="Times New Roman" w:cs="Times New Roman"/>
              </w:rPr>
              <w:t>1) утверждения изменений, которые вносятся в настоящие Правила, связанных:</w:t>
            </w:r>
          </w:p>
          <w:p w:rsidR="00E260FA" w:rsidRPr="00E260FA" w:rsidRDefault="00E260FA" w:rsidP="00E260FA">
            <w:pPr>
              <w:ind w:firstLine="540"/>
              <w:jc w:val="both"/>
              <w:rPr>
                <w:rFonts w:ascii="Times New Roman" w:hAnsi="Times New Roman" w:cs="Times New Roman"/>
                <w:sz w:val="21"/>
                <w:szCs w:val="21"/>
              </w:rPr>
            </w:pPr>
            <w:r w:rsidRPr="00E260FA">
              <w:rPr>
                <w:rFonts w:ascii="Times New Roman" w:hAnsi="Times New Roman" w:cs="Times New Roman"/>
              </w:rPr>
              <w:t>с изменением инвестиционной декларации фонда, за исключением случаев, когда такие изменения обусловлены изменениями нормативных правовых актов федерального органа исполнительной власти по рынку ценных бумаг, устанавливающих дополнительные ограничения состава и структуры активов паевых инвестиционных фондов;</w:t>
            </w:r>
          </w:p>
          <w:p w:rsidR="00E260FA" w:rsidRPr="00E260FA" w:rsidRDefault="00E260FA" w:rsidP="00E260FA">
            <w:pPr>
              <w:ind w:firstLine="540"/>
              <w:jc w:val="both"/>
              <w:rPr>
                <w:rFonts w:ascii="Times New Roman" w:hAnsi="Times New Roman" w:cs="Times New Roman"/>
                <w:sz w:val="21"/>
                <w:szCs w:val="21"/>
              </w:rPr>
            </w:pPr>
            <w:r w:rsidRPr="00E260FA">
              <w:rPr>
                <w:rFonts w:ascii="Times New Roman" w:hAnsi="Times New Roman" w:cs="Times New Roman"/>
              </w:rPr>
              <w:t>с увеличением размера вознаграждения управляющей компании, специализированного депозитария, регистратора, аудиторской организации ____________ (указывается "и оценщика", если правилами предусмотрены сведения об оценщике);</w:t>
            </w:r>
          </w:p>
          <w:p w:rsidR="00E260FA" w:rsidRPr="00E260FA" w:rsidRDefault="00E260FA" w:rsidP="00E260FA">
            <w:pPr>
              <w:ind w:firstLine="540"/>
              <w:jc w:val="both"/>
              <w:rPr>
                <w:rFonts w:ascii="Times New Roman" w:hAnsi="Times New Roman" w:cs="Times New Roman"/>
                <w:sz w:val="21"/>
                <w:szCs w:val="21"/>
              </w:rPr>
            </w:pPr>
            <w:r w:rsidRPr="00E260FA">
              <w:rPr>
                <w:rFonts w:ascii="Times New Roman" w:hAnsi="Times New Roman" w:cs="Times New Roman"/>
              </w:rPr>
              <w:t>с расширением перечня расходов управляющей компании, подлежащих оплате за счет имущества, составляющего фонд, 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фонд;</w:t>
            </w:r>
          </w:p>
          <w:p w:rsidR="00E260FA" w:rsidRPr="00E260FA" w:rsidRDefault="00E260FA" w:rsidP="00E260FA">
            <w:pPr>
              <w:ind w:firstLine="540"/>
              <w:jc w:val="both"/>
              <w:rPr>
                <w:rFonts w:ascii="Times New Roman" w:hAnsi="Times New Roman" w:cs="Times New Roman"/>
                <w:sz w:val="21"/>
                <w:szCs w:val="21"/>
              </w:rPr>
            </w:pPr>
            <w:r w:rsidRPr="00E260FA">
              <w:rPr>
                <w:rFonts w:ascii="Times New Roman" w:hAnsi="Times New Roman" w:cs="Times New Roman"/>
              </w:rPr>
              <w:t>с введением скидок в связи с погашением инвестиционных паев или увеличением их размеров;</w:t>
            </w:r>
          </w:p>
          <w:p w:rsidR="00E260FA" w:rsidRPr="00E260FA" w:rsidRDefault="00E260FA" w:rsidP="00E260FA">
            <w:pPr>
              <w:ind w:firstLine="540"/>
              <w:jc w:val="both"/>
              <w:rPr>
                <w:rFonts w:ascii="Times New Roman" w:hAnsi="Times New Roman" w:cs="Times New Roman"/>
                <w:sz w:val="21"/>
                <w:szCs w:val="21"/>
              </w:rPr>
            </w:pPr>
            <w:r w:rsidRPr="00E260FA">
              <w:rPr>
                <w:rFonts w:ascii="Times New Roman" w:hAnsi="Times New Roman" w:cs="Times New Roman"/>
              </w:rPr>
              <w:t>с изменением типа фонда;</w:t>
            </w:r>
          </w:p>
          <w:p w:rsidR="00E260FA" w:rsidRPr="00E260FA" w:rsidRDefault="00E260FA" w:rsidP="00E260FA">
            <w:pPr>
              <w:ind w:firstLine="540"/>
              <w:jc w:val="both"/>
              <w:rPr>
                <w:rFonts w:ascii="Times New Roman" w:hAnsi="Times New Roman" w:cs="Times New Roman"/>
                <w:sz w:val="21"/>
                <w:szCs w:val="21"/>
              </w:rPr>
            </w:pPr>
            <w:r w:rsidRPr="00E260FA">
              <w:rPr>
                <w:rFonts w:ascii="Times New Roman" w:hAnsi="Times New Roman" w:cs="Times New Roman"/>
              </w:rPr>
              <w:t>с введением, исключением или изменением положений о необходимости одобрения инвестиционным комитетом сделок за счет имущества, составляющего фонд, и (или) действий, связанных с осуществлением прав участника хозяйственного общества, акции или доли которого составляют фонд, а также иных положений об инвестиционном комитете (абзац включается, если инвестиционные паи предназначены для квалифицированных инвесторов);</w:t>
            </w:r>
          </w:p>
          <w:p w:rsidR="00E260FA" w:rsidRPr="00E260FA" w:rsidRDefault="00E260FA" w:rsidP="00E260FA">
            <w:pPr>
              <w:ind w:firstLine="540"/>
              <w:jc w:val="both"/>
              <w:rPr>
                <w:rFonts w:ascii="Times New Roman" w:hAnsi="Times New Roman" w:cs="Times New Roman"/>
                <w:sz w:val="21"/>
                <w:szCs w:val="21"/>
              </w:rPr>
            </w:pPr>
            <w:r w:rsidRPr="00E260FA">
              <w:rPr>
                <w:rFonts w:ascii="Times New Roman" w:hAnsi="Times New Roman" w:cs="Times New Roman"/>
              </w:rPr>
              <w:t>с изменением доли в общем количестве выданных инвестиционных паев, которая может принадлежать управляющей компании (абзац включается, если правилами предусмотрено право управляющей компании приобретать инвестиционные паи при формировании фонда);</w:t>
            </w:r>
          </w:p>
          <w:p w:rsidR="00E260FA" w:rsidRPr="00E260FA" w:rsidRDefault="00E260FA" w:rsidP="00E260FA">
            <w:pPr>
              <w:ind w:firstLine="540"/>
              <w:jc w:val="both"/>
              <w:rPr>
                <w:rFonts w:ascii="Times New Roman" w:hAnsi="Times New Roman" w:cs="Times New Roman"/>
                <w:sz w:val="21"/>
                <w:szCs w:val="21"/>
              </w:rPr>
            </w:pPr>
            <w:r w:rsidRPr="00E260FA">
              <w:rPr>
                <w:rFonts w:ascii="Times New Roman" w:hAnsi="Times New Roman" w:cs="Times New Roman"/>
              </w:rPr>
              <w:t>с определением количества дополнительных инвестиционных паев;</w:t>
            </w:r>
          </w:p>
          <w:p w:rsidR="00E260FA" w:rsidRPr="00E260FA" w:rsidRDefault="00E260FA" w:rsidP="00E260FA">
            <w:pPr>
              <w:ind w:firstLine="540"/>
              <w:jc w:val="both"/>
              <w:rPr>
                <w:rFonts w:ascii="Times New Roman" w:hAnsi="Times New Roman" w:cs="Times New Roman"/>
                <w:sz w:val="21"/>
                <w:szCs w:val="21"/>
              </w:rPr>
            </w:pPr>
            <w:r w:rsidRPr="00E260FA">
              <w:rPr>
                <w:rFonts w:ascii="Times New Roman" w:hAnsi="Times New Roman" w:cs="Times New Roman"/>
              </w:rPr>
              <w:t xml:space="preserve">___________________ (указываются иные положения правил, изменение которых должно быть утверждено общим собранием владельцев инвестиционных паев в соответствии с нормативными правовыми </w:t>
            </w:r>
            <w:hyperlink r:id="rId14" w:history="1">
              <w:r w:rsidRPr="00E260FA">
                <w:rPr>
                  <w:rStyle w:val="ac"/>
                  <w:rFonts w:ascii="Times New Roman" w:hAnsi="Times New Roman" w:cs="Times New Roman"/>
                  <w:color w:val="auto"/>
                </w:rPr>
                <w:t>актами</w:t>
              </w:r>
            </w:hyperlink>
            <w:r w:rsidRPr="00E260FA">
              <w:rPr>
                <w:rFonts w:ascii="Times New Roman" w:hAnsi="Times New Roman" w:cs="Times New Roman"/>
              </w:rPr>
              <w:t xml:space="preserve"> федерального органа исполнительной власти по рынку ценных бумаг);</w:t>
            </w:r>
          </w:p>
          <w:p w:rsidR="00E260FA" w:rsidRPr="00E260FA" w:rsidRDefault="00E260FA" w:rsidP="00E260FA">
            <w:pPr>
              <w:ind w:firstLine="540"/>
              <w:jc w:val="both"/>
              <w:rPr>
                <w:rFonts w:ascii="Times New Roman" w:hAnsi="Times New Roman" w:cs="Times New Roman"/>
                <w:sz w:val="21"/>
                <w:szCs w:val="21"/>
              </w:rPr>
            </w:pPr>
            <w:r w:rsidRPr="00E260FA">
              <w:rPr>
                <w:rFonts w:ascii="Times New Roman" w:hAnsi="Times New Roman" w:cs="Times New Roman"/>
              </w:rPr>
              <w:t>2) передачи прав и обязанностей по договору доверительного управления фондом другой управляющей компании;</w:t>
            </w:r>
          </w:p>
          <w:p w:rsidR="00E260FA" w:rsidRPr="00E260FA" w:rsidRDefault="00E260FA" w:rsidP="00E260FA">
            <w:pPr>
              <w:ind w:firstLine="540"/>
              <w:jc w:val="both"/>
              <w:rPr>
                <w:rFonts w:ascii="Times New Roman" w:hAnsi="Times New Roman" w:cs="Times New Roman"/>
                <w:sz w:val="21"/>
                <w:szCs w:val="21"/>
              </w:rPr>
            </w:pPr>
            <w:r w:rsidRPr="00E260FA">
              <w:rPr>
                <w:rFonts w:ascii="Times New Roman" w:hAnsi="Times New Roman" w:cs="Times New Roman"/>
              </w:rPr>
              <w:lastRenderedPageBreak/>
              <w:t>3) досрочного прекращения или продления срока действия договора доверительного управления фондом.</w:t>
            </w:r>
          </w:p>
        </w:tc>
        <w:tc>
          <w:tcPr>
            <w:tcW w:w="7938" w:type="dxa"/>
          </w:tcPr>
          <w:p w:rsidR="00E260FA" w:rsidRPr="00E260FA" w:rsidRDefault="00E260FA" w:rsidP="00E260FA">
            <w:pPr>
              <w:ind w:firstLine="540"/>
              <w:jc w:val="both"/>
              <w:rPr>
                <w:rFonts w:ascii="Times New Roman" w:hAnsi="Times New Roman" w:cs="Times New Roman"/>
                <w:sz w:val="21"/>
                <w:szCs w:val="21"/>
              </w:rPr>
            </w:pPr>
            <w:r w:rsidRPr="00E260FA">
              <w:rPr>
                <w:rFonts w:ascii="Times New Roman" w:hAnsi="Times New Roman" w:cs="Times New Roman"/>
              </w:rPr>
              <w:lastRenderedPageBreak/>
              <w:t>Общее собрание владельцев инвестиционных паев принимает решения по вопросам:</w:t>
            </w:r>
          </w:p>
          <w:p w:rsidR="00E260FA" w:rsidRPr="00E260FA" w:rsidRDefault="00E260FA" w:rsidP="00E260FA">
            <w:pPr>
              <w:ind w:firstLine="540"/>
              <w:jc w:val="both"/>
              <w:rPr>
                <w:rFonts w:ascii="Times New Roman" w:hAnsi="Times New Roman" w:cs="Times New Roman"/>
                <w:sz w:val="21"/>
                <w:szCs w:val="21"/>
              </w:rPr>
            </w:pPr>
            <w:r w:rsidRPr="00E260FA">
              <w:rPr>
                <w:rFonts w:ascii="Times New Roman" w:hAnsi="Times New Roman" w:cs="Times New Roman"/>
              </w:rPr>
              <w:t>1) утверждения изменений, которые вносятся в настоящие Правила, связанных:</w:t>
            </w:r>
          </w:p>
          <w:p w:rsidR="00E260FA" w:rsidRPr="00E260FA" w:rsidRDefault="00E260FA" w:rsidP="00E260FA">
            <w:pPr>
              <w:ind w:firstLine="540"/>
              <w:jc w:val="both"/>
              <w:rPr>
                <w:rFonts w:ascii="Times New Roman" w:hAnsi="Times New Roman" w:cs="Times New Roman"/>
                <w:sz w:val="21"/>
                <w:szCs w:val="21"/>
              </w:rPr>
            </w:pPr>
            <w:r w:rsidRPr="00E260FA">
              <w:rPr>
                <w:rFonts w:ascii="Times New Roman" w:hAnsi="Times New Roman" w:cs="Times New Roman"/>
              </w:rPr>
              <w:t>с изменением инвестиционной декларации фонда, за исключением случаев, когда такие изменения обусловлены изменениями нормативных правовых актов федерального органа исполнительной власти по рынку ценных бумаг, устанавливающих дополнительные ограничения состава и структуры активов паевых инвестиционных фондов;</w:t>
            </w:r>
          </w:p>
          <w:p w:rsidR="00E260FA" w:rsidRPr="00E260FA" w:rsidRDefault="00E260FA" w:rsidP="00E260FA">
            <w:pPr>
              <w:ind w:firstLine="540"/>
              <w:jc w:val="both"/>
              <w:rPr>
                <w:rFonts w:ascii="Times New Roman" w:hAnsi="Times New Roman" w:cs="Times New Roman"/>
                <w:sz w:val="21"/>
                <w:szCs w:val="21"/>
              </w:rPr>
            </w:pPr>
            <w:r w:rsidRPr="00E260FA">
              <w:rPr>
                <w:rFonts w:ascii="Times New Roman" w:hAnsi="Times New Roman" w:cs="Times New Roman"/>
              </w:rPr>
              <w:t>с увеличением размера вознаграждения управляющей компании, специализированного депозитария, регистратора, аудиторской организации ____________ (указывается "и оценщика", если правилами предусмотрены сведения об оценщике);</w:t>
            </w:r>
          </w:p>
          <w:p w:rsidR="00E260FA" w:rsidRPr="00E260FA" w:rsidRDefault="00E260FA" w:rsidP="00E260FA">
            <w:pPr>
              <w:ind w:firstLine="540"/>
              <w:jc w:val="both"/>
              <w:rPr>
                <w:rFonts w:ascii="Times New Roman" w:hAnsi="Times New Roman" w:cs="Times New Roman"/>
                <w:sz w:val="21"/>
                <w:szCs w:val="21"/>
              </w:rPr>
            </w:pPr>
            <w:r w:rsidRPr="00E260FA">
              <w:rPr>
                <w:rFonts w:ascii="Times New Roman" w:hAnsi="Times New Roman" w:cs="Times New Roman"/>
              </w:rPr>
              <w:t>с расширением перечня расходов управляющей компании, подлежащих оплате за счет имущества, составляющего фонд, 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фонд;</w:t>
            </w:r>
          </w:p>
          <w:p w:rsidR="00E260FA" w:rsidRPr="00E260FA" w:rsidRDefault="00E260FA" w:rsidP="00E260FA">
            <w:pPr>
              <w:ind w:firstLine="540"/>
              <w:jc w:val="both"/>
              <w:rPr>
                <w:rFonts w:ascii="Times New Roman" w:hAnsi="Times New Roman" w:cs="Times New Roman"/>
                <w:sz w:val="21"/>
                <w:szCs w:val="21"/>
              </w:rPr>
            </w:pPr>
            <w:r w:rsidRPr="00E260FA">
              <w:rPr>
                <w:rFonts w:ascii="Times New Roman" w:hAnsi="Times New Roman" w:cs="Times New Roman"/>
              </w:rPr>
              <w:t>с введением скидок в связи с погашением инвестиционных паев или увеличением их размеров;</w:t>
            </w:r>
          </w:p>
          <w:p w:rsidR="00E260FA" w:rsidRPr="00E260FA" w:rsidRDefault="00E260FA" w:rsidP="00E260FA">
            <w:pPr>
              <w:ind w:firstLine="540"/>
              <w:jc w:val="both"/>
              <w:rPr>
                <w:rFonts w:ascii="Times New Roman" w:hAnsi="Times New Roman" w:cs="Times New Roman"/>
                <w:sz w:val="21"/>
                <w:szCs w:val="21"/>
              </w:rPr>
            </w:pPr>
            <w:r w:rsidRPr="00E260FA">
              <w:rPr>
                <w:rFonts w:ascii="Times New Roman" w:hAnsi="Times New Roman" w:cs="Times New Roman"/>
              </w:rPr>
              <w:t>с изменением типа фонда;</w:t>
            </w:r>
          </w:p>
          <w:p w:rsidR="00E260FA" w:rsidRPr="00E260FA" w:rsidRDefault="00E260FA" w:rsidP="00E260FA">
            <w:pPr>
              <w:ind w:firstLine="540"/>
              <w:jc w:val="both"/>
              <w:rPr>
                <w:rFonts w:ascii="Times New Roman" w:hAnsi="Times New Roman" w:cs="Times New Roman"/>
                <w:sz w:val="21"/>
                <w:szCs w:val="21"/>
              </w:rPr>
            </w:pPr>
            <w:r w:rsidRPr="00E260FA">
              <w:rPr>
                <w:rFonts w:ascii="Times New Roman" w:hAnsi="Times New Roman" w:cs="Times New Roman"/>
              </w:rPr>
              <w:t>с введением, исключением или изменением положений о необходимости одобрения инвестиционным комитетом сделок за счет имущества, составляющего фонд, и (или) действий, связанных с осуществлением прав участника хозяйственного общества, акции или доли которого составляют фонд, а также иных положений об инвестиционном комитете (абзац включается, если инвестиционные паи предназначены для квалифицированных инвесторов);</w:t>
            </w:r>
          </w:p>
          <w:p w:rsidR="00E260FA" w:rsidRDefault="00E260FA" w:rsidP="00E260FA">
            <w:pPr>
              <w:ind w:firstLine="540"/>
              <w:jc w:val="both"/>
              <w:rPr>
                <w:rFonts w:ascii="Times New Roman" w:hAnsi="Times New Roman" w:cs="Times New Roman"/>
              </w:rPr>
            </w:pPr>
            <w:r w:rsidRPr="00E260FA">
              <w:rPr>
                <w:rFonts w:ascii="Times New Roman" w:hAnsi="Times New Roman" w:cs="Times New Roman"/>
              </w:rPr>
              <w:t>с изменением доли в общем количестве выданных инвестиционных паев, которая может принадлежать управляющей компании (абзац включается, если правилами предусмотрено право управляющей компании приобретать инвестиционные паи при формировании фонда);</w:t>
            </w:r>
          </w:p>
          <w:p w:rsidR="005147FB" w:rsidRDefault="005147FB" w:rsidP="00E260FA">
            <w:pPr>
              <w:ind w:firstLine="540"/>
              <w:jc w:val="both"/>
              <w:rPr>
                <w:rFonts w:ascii="Times New Roman" w:hAnsi="Times New Roman" w:cs="Times New Roman"/>
                <w:b/>
              </w:rPr>
            </w:pPr>
            <w:r w:rsidRPr="005147FB">
              <w:rPr>
                <w:rFonts w:ascii="Times New Roman" w:hAnsi="Times New Roman" w:cs="Times New Roman"/>
                <w:b/>
              </w:rPr>
              <w:t>с введением или изменением положений о возможности совершения сделок, предусмотренных подпунктами 6-11 пункта 1 статьи 40 Федерального закона «Об инвестиционных фондах», в случаях, установленных пунктом 10 статьи 40 указанного закона;</w:t>
            </w:r>
          </w:p>
          <w:p w:rsidR="00E260FA" w:rsidRPr="00E260FA" w:rsidRDefault="00E260FA" w:rsidP="001649BA">
            <w:pPr>
              <w:jc w:val="both"/>
              <w:rPr>
                <w:rFonts w:ascii="Times New Roman" w:hAnsi="Times New Roman" w:cs="Times New Roman"/>
                <w:sz w:val="21"/>
                <w:szCs w:val="21"/>
              </w:rPr>
            </w:pPr>
            <w:r w:rsidRPr="00E260FA">
              <w:rPr>
                <w:rFonts w:ascii="Times New Roman" w:hAnsi="Times New Roman" w:cs="Times New Roman"/>
              </w:rPr>
              <w:t>с определением количества дополнительных инвестиционных паев;</w:t>
            </w:r>
          </w:p>
          <w:p w:rsidR="00E260FA" w:rsidRPr="00E260FA" w:rsidRDefault="00E260FA" w:rsidP="00E260FA">
            <w:pPr>
              <w:ind w:firstLine="540"/>
              <w:jc w:val="both"/>
              <w:rPr>
                <w:rFonts w:ascii="Times New Roman" w:hAnsi="Times New Roman" w:cs="Times New Roman"/>
                <w:sz w:val="21"/>
                <w:szCs w:val="21"/>
              </w:rPr>
            </w:pPr>
            <w:r w:rsidRPr="00E260FA">
              <w:rPr>
                <w:rFonts w:ascii="Times New Roman" w:hAnsi="Times New Roman" w:cs="Times New Roman"/>
              </w:rPr>
              <w:t xml:space="preserve">___________________ (указываются иные положения правил, изменение которых должно быть утверждено общим собранием владельцев инвестиционных паев в соответствии с нормативными правовыми </w:t>
            </w:r>
            <w:hyperlink r:id="rId15" w:history="1">
              <w:r w:rsidRPr="00E260FA">
                <w:rPr>
                  <w:rStyle w:val="ac"/>
                  <w:rFonts w:ascii="Times New Roman" w:hAnsi="Times New Roman" w:cs="Times New Roman"/>
                  <w:color w:val="auto"/>
                </w:rPr>
                <w:t>актами</w:t>
              </w:r>
            </w:hyperlink>
            <w:r w:rsidRPr="00E260FA">
              <w:rPr>
                <w:rFonts w:ascii="Times New Roman" w:hAnsi="Times New Roman" w:cs="Times New Roman"/>
              </w:rPr>
              <w:t xml:space="preserve"> </w:t>
            </w:r>
            <w:r w:rsidRPr="00E260FA">
              <w:rPr>
                <w:rFonts w:ascii="Times New Roman" w:hAnsi="Times New Roman" w:cs="Times New Roman"/>
              </w:rPr>
              <w:lastRenderedPageBreak/>
              <w:t>федерального органа исполнительной власти по рынку ценных бумаг);</w:t>
            </w:r>
          </w:p>
          <w:p w:rsidR="00E260FA" w:rsidRPr="00E260FA" w:rsidRDefault="00E260FA" w:rsidP="00E260FA">
            <w:pPr>
              <w:ind w:firstLine="540"/>
              <w:jc w:val="both"/>
              <w:rPr>
                <w:rFonts w:ascii="Times New Roman" w:hAnsi="Times New Roman" w:cs="Times New Roman"/>
                <w:sz w:val="21"/>
                <w:szCs w:val="21"/>
              </w:rPr>
            </w:pPr>
            <w:r w:rsidRPr="00E260FA">
              <w:rPr>
                <w:rFonts w:ascii="Times New Roman" w:hAnsi="Times New Roman" w:cs="Times New Roman"/>
              </w:rPr>
              <w:t>2) передачи прав и обязанностей по договору доверительного управления фондом другой управляющей компании;</w:t>
            </w:r>
          </w:p>
          <w:p w:rsidR="00E260FA" w:rsidRPr="00E260FA" w:rsidRDefault="00E260FA" w:rsidP="00E260FA">
            <w:pPr>
              <w:ind w:firstLine="540"/>
              <w:jc w:val="both"/>
              <w:rPr>
                <w:rFonts w:ascii="Times New Roman" w:hAnsi="Times New Roman" w:cs="Times New Roman"/>
                <w:sz w:val="21"/>
                <w:szCs w:val="21"/>
              </w:rPr>
            </w:pPr>
            <w:r w:rsidRPr="00E260FA">
              <w:rPr>
                <w:rFonts w:ascii="Times New Roman" w:hAnsi="Times New Roman" w:cs="Times New Roman"/>
              </w:rPr>
              <w:t>3) досрочного прекращения или продления срока действия договора доверительного управления фондом.</w:t>
            </w:r>
          </w:p>
        </w:tc>
      </w:tr>
    </w:tbl>
    <w:p w:rsidR="0016233D" w:rsidRPr="00564C21" w:rsidRDefault="0016233D">
      <w:pPr>
        <w:rPr>
          <w:rFonts w:ascii="Times New Roman" w:hAnsi="Times New Roman" w:cs="Times New Roman"/>
          <w:sz w:val="24"/>
          <w:szCs w:val="24"/>
        </w:rPr>
      </w:pPr>
    </w:p>
    <w:sectPr w:rsidR="0016233D" w:rsidRPr="00564C21" w:rsidSect="00190F64">
      <w:headerReference w:type="default" r:id="rId16"/>
      <w:pgSz w:w="16838" w:h="11906" w:orient="landscape"/>
      <w:pgMar w:top="720" w:right="720" w:bottom="720" w:left="72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8BC7C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4EA" w:rsidRDefault="002344EA" w:rsidP="002D06E4">
      <w:pPr>
        <w:spacing w:after="0" w:line="240" w:lineRule="auto"/>
      </w:pPr>
      <w:r>
        <w:separator/>
      </w:r>
    </w:p>
  </w:endnote>
  <w:endnote w:type="continuationSeparator" w:id="1">
    <w:p w:rsidR="002344EA" w:rsidRDefault="002344EA" w:rsidP="002D06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4EA" w:rsidRDefault="002344EA" w:rsidP="002D06E4">
      <w:pPr>
        <w:spacing w:after="0" w:line="240" w:lineRule="auto"/>
      </w:pPr>
      <w:r>
        <w:separator/>
      </w:r>
    </w:p>
  </w:footnote>
  <w:footnote w:type="continuationSeparator" w:id="1">
    <w:p w:rsidR="002344EA" w:rsidRDefault="002344EA" w:rsidP="002D06E4">
      <w:pPr>
        <w:spacing w:after="0" w:line="240" w:lineRule="auto"/>
      </w:pPr>
      <w:r>
        <w:continuationSeparator/>
      </w:r>
    </w:p>
  </w:footnote>
  <w:footnote w:id="2">
    <w:p w:rsidR="006C1F43" w:rsidRPr="00A869EB" w:rsidRDefault="006C1F43" w:rsidP="006C1F43">
      <w:pPr>
        <w:jc w:val="both"/>
        <w:rPr>
          <w:rFonts w:ascii="Verdana" w:eastAsia="Times New Roman" w:hAnsi="Verdana" w:cs="Times New Roman"/>
          <w:sz w:val="20"/>
          <w:szCs w:val="20"/>
          <w:lang w:eastAsia="ru-RU"/>
        </w:rPr>
      </w:pPr>
      <w:r w:rsidRPr="00A869EB">
        <w:rPr>
          <w:rStyle w:val="af3"/>
          <w:sz w:val="20"/>
          <w:szCs w:val="20"/>
        </w:rPr>
        <w:footnoteRef/>
      </w:r>
      <w:r w:rsidRPr="00A869EB">
        <w:rPr>
          <w:rFonts w:ascii="Times New Roman" w:eastAsia="Times New Roman" w:hAnsi="Times New Roman" w:cs="Times New Roman"/>
          <w:sz w:val="20"/>
          <w:szCs w:val="20"/>
          <w:lang w:eastAsia="ru-RU"/>
        </w:rPr>
        <w:t>Федеральный закон от 01.05.2019 № 75-ФЗ «О внесении изменений в Федеральный закон «Об инвестиционных фондах» и Федеральный закон «О Российском Фонде Прямых Инвестиций».</w:t>
      </w:r>
    </w:p>
    <w:p w:rsidR="006C1F43" w:rsidRPr="0078453D" w:rsidRDefault="006C1F43" w:rsidP="006C1F43">
      <w:pPr>
        <w:autoSpaceDE w:val="0"/>
        <w:autoSpaceDN w:val="0"/>
        <w:adjustRightInd w:val="0"/>
        <w:spacing w:after="0" w:line="240" w:lineRule="auto"/>
        <w:jc w:val="both"/>
        <w:rPr>
          <w:rFonts w:ascii="Times New Roman" w:hAnsi="Times New Roman"/>
          <w:sz w:val="20"/>
          <w:szCs w:val="20"/>
          <w:lang w:eastAsia="ru-R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1046682"/>
      <w:docPartObj>
        <w:docPartGallery w:val="Page Numbers (Top of Page)"/>
        <w:docPartUnique/>
      </w:docPartObj>
    </w:sdtPr>
    <w:sdtContent>
      <w:p w:rsidR="002D06E4" w:rsidRDefault="0064230F">
        <w:pPr>
          <w:pStyle w:val="ad"/>
          <w:jc w:val="center"/>
        </w:pPr>
        <w:r>
          <w:fldChar w:fldCharType="begin"/>
        </w:r>
        <w:r w:rsidR="002D06E4">
          <w:instrText>PAGE   \* MERGEFORMAT</w:instrText>
        </w:r>
        <w:r>
          <w:fldChar w:fldCharType="separate"/>
        </w:r>
        <w:r w:rsidR="002C5D2E">
          <w:rPr>
            <w:noProof/>
          </w:rPr>
          <w:t>5</w:t>
        </w:r>
        <w:r>
          <w:fldChar w:fldCharType="end"/>
        </w:r>
      </w:p>
    </w:sdtContent>
  </w:sdt>
  <w:p w:rsidR="002D06E4" w:rsidRDefault="002D06E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605E7"/>
    <w:multiLevelType w:val="hybridMultilevel"/>
    <w:tmpl w:val="5ED0EE08"/>
    <w:lvl w:ilvl="0" w:tplc="6EAC3F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цканов Тимур Аниуарович">
    <w15:presenceInfo w15:providerId="AD" w15:userId="S-1-5-21-3984553460-2967019461-2582754449-619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9E5E49"/>
    <w:rsid w:val="000348C5"/>
    <w:rsid w:val="0003493E"/>
    <w:rsid w:val="000A78BC"/>
    <w:rsid w:val="000B2F6F"/>
    <w:rsid w:val="000E1013"/>
    <w:rsid w:val="000E39BD"/>
    <w:rsid w:val="0010788D"/>
    <w:rsid w:val="0011500D"/>
    <w:rsid w:val="00121EBF"/>
    <w:rsid w:val="00132210"/>
    <w:rsid w:val="00155E96"/>
    <w:rsid w:val="0016233D"/>
    <w:rsid w:val="001649BA"/>
    <w:rsid w:val="00180B2C"/>
    <w:rsid w:val="001815BE"/>
    <w:rsid w:val="00183EC9"/>
    <w:rsid w:val="00190F64"/>
    <w:rsid w:val="001956FD"/>
    <w:rsid w:val="001B1D0D"/>
    <w:rsid w:val="001C430D"/>
    <w:rsid w:val="001C71F2"/>
    <w:rsid w:val="001C73F9"/>
    <w:rsid w:val="001F2767"/>
    <w:rsid w:val="00201032"/>
    <w:rsid w:val="00214AA5"/>
    <w:rsid w:val="00222B1E"/>
    <w:rsid w:val="0022597E"/>
    <w:rsid w:val="00233C5D"/>
    <w:rsid w:val="002344EA"/>
    <w:rsid w:val="00235913"/>
    <w:rsid w:val="0024463F"/>
    <w:rsid w:val="00247147"/>
    <w:rsid w:val="00255E64"/>
    <w:rsid w:val="00256CCF"/>
    <w:rsid w:val="0026630F"/>
    <w:rsid w:val="00275AF2"/>
    <w:rsid w:val="00282B59"/>
    <w:rsid w:val="002A4269"/>
    <w:rsid w:val="002C5D2E"/>
    <w:rsid w:val="002D06E4"/>
    <w:rsid w:val="002D0F0F"/>
    <w:rsid w:val="002D42E3"/>
    <w:rsid w:val="002D4517"/>
    <w:rsid w:val="002E2FFF"/>
    <w:rsid w:val="00311710"/>
    <w:rsid w:val="00366E11"/>
    <w:rsid w:val="00370C79"/>
    <w:rsid w:val="00383270"/>
    <w:rsid w:val="003875D8"/>
    <w:rsid w:val="00392F58"/>
    <w:rsid w:val="003A3F8D"/>
    <w:rsid w:val="003C0C02"/>
    <w:rsid w:val="003C6E15"/>
    <w:rsid w:val="003F1B43"/>
    <w:rsid w:val="00404ABC"/>
    <w:rsid w:val="004243B9"/>
    <w:rsid w:val="00425BF3"/>
    <w:rsid w:val="00433C72"/>
    <w:rsid w:val="00467774"/>
    <w:rsid w:val="0048368F"/>
    <w:rsid w:val="0049621C"/>
    <w:rsid w:val="004A7D09"/>
    <w:rsid w:val="004B10C5"/>
    <w:rsid w:val="004C6DD1"/>
    <w:rsid w:val="004D4464"/>
    <w:rsid w:val="004E7E86"/>
    <w:rsid w:val="0050382E"/>
    <w:rsid w:val="00511DEE"/>
    <w:rsid w:val="005147FB"/>
    <w:rsid w:val="00564C21"/>
    <w:rsid w:val="00571B81"/>
    <w:rsid w:val="0057400E"/>
    <w:rsid w:val="005C43A3"/>
    <w:rsid w:val="005D4B98"/>
    <w:rsid w:val="005F42FD"/>
    <w:rsid w:val="005F77B7"/>
    <w:rsid w:val="0060425A"/>
    <w:rsid w:val="00606D67"/>
    <w:rsid w:val="00612592"/>
    <w:rsid w:val="00616723"/>
    <w:rsid w:val="006254B1"/>
    <w:rsid w:val="00636123"/>
    <w:rsid w:val="00637500"/>
    <w:rsid w:val="0064207F"/>
    <w:rsid w:val="0064230F"/>
    <w:rsid w:val="0065051E"/>
    <w:rsid w:val="0065301C"/>
    <w:rsid w:val="006530B1"/>
    <w:rsid w:val="006A0C23"/>
    <w:rsid w:val="006B46A5"/>
    <w:rsid w:val="006C1F43"/>
    <w:rsid w:val="006E19AE"/>
    <w:rsid w:val="0070641C"/>
    <w:rsid w:val="00777E87"/>
    <w:rsid w:val="00795972"/>
    <w:rsid w:val="007B2298"/>
    <w:rsid w:val="007D6553"/>
    <w:rsid w:val="007D74FD"/>
    <w:rsid w:val="00822E50"/>
    <w:rsid w:val="00830979"/>
    <w:rsid w:val="008474B6"/>
    <w:rsid w:val="008A5690"/>
    <w:rsid w:val="008B5279"/>
    <w:rsid w:val="008C2FF0"/>
    <w:rsid w:val="008D13AE"/>
    <w:rsid w:val="008D45ED"/>
    <w:rsid w:val="008F26E6"/>
    <w:rsid w:val="00913F37"/>
    <w:rsid w:val="00937ACD"/>
    <w:rsid w:val="00937C2F"/>
    <w:rsid w:val="00960637"/>
    <w:rsid w:val="00973F1E"/>
    <w:rsid w:val="009747CE"/>
    <w:rsid w:val="009976CF"/>
    <w:rsid w:val="009B6375"/>
    <w:rsid w:val="009E5E49"/>
    <w:rsid w:val="009F155F"/>
    <w:rsid w:val="009F207F"/>
    <w:rsid w:val="009F6381"/>
    <w:rsid w:val="00A11C23"/>
    <w:rsid w:val="00A301B2"/>
    <w:rsid w:val="00A54B72"/>
    <w:rsid w:val="00A5722E"/>
    <w:rsid w:val="00A723D4"/>
    <w:rsid w:val="00A869EB"/>
    <w:rsid w:val="00A9076D"/>
    <w:rsid w:val="00A94096"/>
    <w:rsid w:val="00AA2D03"/>
    <w:rsid w:val="00AA35EB"/>
    <w:rsid w:val="00AB2410"/>
    <w:rsid w:val="00AB6A4C"/>
    <w:rsid w:val="00AD385E"/>
    <w:rsid w:val="00AE54BA"/>
    <w:rsid w:val="00AF168C"/>
    <w:rsid w:val="00B1454B"/>
    <w:rsid w:val="00B21B3F"/>
    <w:rsid w:val="00B36EB8"/>
    <w:rsid w:val="00B54C0F"/>
    <w:rsid w:val="00B55E45"/>
    <w:rsid w:val="00B63CF7"/>
    <w:rsid w:val="00B75FEC"/>
    <w:rsid w:val="00B96150"/>
    <w:rsid w:val="00BA24F6"/>
    <w:rsid w:val="00BD4EB5"/>
    <w:rsid w:val="00BE240A"/>
    <w:rsid w:val="00C35056"/>
    <w:rsid w:val="00C426F8"/>
    <w:rsid w:val="00C75CB5"/>
    <w:rsid w:val="00C97766"/>
    <w:rsid w:val="00CD4170"/>
    <w:rsid w:val="00CE78FB"/>
    <w:rsid w:val="00CF25CA"/>
    <w:rsid w:val="00D01FAA"/>
    <w:rsid w:val="00D0327A"/>
    <w:rsid w:val="00D0465B"/>
    <w:rsid w:val="00D16130"/>
    <w:rsid w:val="00D57B3F"/>
    <w:rsid w:val="00D73019"/>
    <w:rsid w:val="00D741E5"/>
    <w:rsid w:val="00D96841"/>
    <w:rsid w:val="00DB4375"/>
    <w:rsid w:val="00DE4D90"/>
    <w:rsid w:val="00E06991"/>
    <w:rsid w:val="00E260FA"/>
    <w:rsid w:val="00E4019C"/>
    <w:rsid w:val="00E43BE2"/>
    <w:rsid w:val="00E56AB2"/>
    <w:rsid w:val="00E57ABB"/>
    <w:rsid w:val="00E64FD3"/>
    <w:rsid w:val="00E67E66"/>
    <w:rsid w:val="00E94D85"/>
    <w:rsid w:val="00EA75A9"/>
    <w:rsid w:val="00ED11E0"/>
    <w:rsid w:val="00ED4E98"/>
    <w:rsid w:val="00EE5165"/>
    <w:rsid w:val="00EF0594"/>
    <w:rsid w:val="00EF4969"/>
    <w:rsid w:val="00F10F7E"/>
    <w:rsid w:val="00F666A3"/>
    <w:rsid w:val="00F8062E"/>
    <w:rsid w:val="00F807B8"/>
    <w:rsid w:val="00F83A23"/>
    <w:rsid w:val="00FA2AE9"/>
    <w:rsid w:val="00FD2695"/>
    <w:rsid w:val="00FE4168"/>
    <w:rsid w:val="00FE49AB"/>
    <w:rsid w:val="00FF4E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3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C430D"/>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C9776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97766"/>
    <w:rPr>
      <w:rFonts w:ascii="Segoe UI" w:hAnsi="Segoe UI" w:cs="Segoe UI"/>
      <w:sz w:val="18"/>
      <w:szCs w:val="18"/>
    </w:rPr>
  </w:style>
  <w:style w:type="character" w:styleId="a6">
    <w:name w:val="annotation reference"/>
    <w:basedOn w:val="a0"/>
    <w:uiPriority w:val="99"/>
    <w:semiHidden/>
    <w:unhideWhenUsed/>
    <w:rsid w:val="00C426F8"/>
    <w:rPr>
      <w:sz w:val="16"/>
      <w:szCs w:val="16"/>
    </w:rPr>
  </w:style>
  <w:style w:type="paragraph" w:styleId="a7">
    <w:name w:val="annotation text"/>
    <w:basedOn w:val="a"/>
    <w:link w:val="a8"/>
    <w:uiPriority w:val="99"/>
    <w:semiHidden/>
    <w:unhideWhenUsed/>
    <w:rsid w:val="00C426F8"/>
    <w:pPr>
      <w:spacing w:line="240" w:lineRule="auto"/>
    </w:pPr>
    <w:rPr>
      <w:sz w:val="20"/>
      <w:szCs w:val="20"/>
    </w:rPr>
  </w:style>
  <w:style w:type="character" w:customStyle="1" w:styleId="a8">
    <w:name w:val="Текст примечания Знак"/>
    <w:basedOn w:val="a0"/>
    <w:link w:val="a7"/>
    <w:uiPriority w:val="99"/>
    <w:semiHidden/>
    <w:rsid w:val="00C426F8"/>
    <w:rPr>
      <w:sz w:val="20"/>
      <w:szCs w:val="20"/>
    </w:rPr>
  </w:style>
  <w:style w:type="paragraph" w:styleId="a9">
    <w:name w:val="annotation subject"/>
    <w:basedOn w:val="a7"/>
    <w:next w:val="a7"/>
    <w:link w:val="aa"/>
    <w:uiPriority w:val="99"/>
    <w:semiHidden/>
    <w:unhideWhenUsed/>
    <w:rsid w:val="00C426F8"/>
    <w:rPr>
      <w:b/>
      <w:bCs/>
    </w:rPr>
  </w:style>
  <w:style w:type="character" w:customStyle="1" w:styleId="aa">
    <w:name w:val="Тема примечания Знак"/>
    <w:basedOn w:val="a8"/>
    <w:link w:val="a9"/>
    <w:uiPriority w:val="99"/>
    <w:semiHidden/>
    <w:rsid w:val="00C426F8"/>
    <w:rPr>
      <w:b/>
      <w:bCs/>
      <w:sz w:val="20"/>
      <w:szCs w:val="20"/>
    </w:rPr>
  </w:style>
  <w:style w:type="paragraph" w:styleId="ab">
    <w:name w:val="Revision"/>
    <w:hidden/>
    <w:uiPriority w:val="99"/>
    <w:semiHidden/>
    <w:rsid w:val="008A5690"/>
    <w:pPr>
      <w:spacing w:after="0" w:line="240" w:lineRule="auto"/>
    </w:pPr>
  </w:style>
  <w:style w:type="character" w:styleId="ac">
    <w:name w:val="Hyperlink"/>
    <w:basedOn w:val="a0"/>
    <w:uiPriority w:val="99"/>
    <w:semiHidden/>
    <w:unhideWhenUsed/>
    <w:rsid w:val="00913F37"/>
    <w:rPr>
      <w:color w:val="0563C1" w:themeColor="hyperlink"/>
      <w:u w:val="single"/>
    </w:rPr>
  </w:style>
  <w:style w:type="paragraph" w:styleId="ad">
    <w:name w:val="header"/>
    <w:basedOn w:val="a"/>
    <w:link w:val="ae"/>
    <w:uiPriority w:val="99"/>
    <w:unhideWhenUsed/>
    <w:rsid w:val="002D06E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D06E4"/>
  </w:style>
  <w:style w:type="paragraph" w:styleId="af">
    <w:name w:val="footer"/>
    <w:basedOn w:val="a"/>
    <w:link w:val="af0"/>
    <w:uiPriority w:val="99"/>
    <w:unhideWhenUsed/>
    <w:rsid w:val="002D06E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06E4"/>
  </w:style>
  <w:style w:type="paragraph" w:styleId="af1">
    <w:name w:val="footnote text"/>
    <w:basedOn w:val="a"/>
    <w:link w:val="af2"/>
    <w:uiPriority w:val="99"/>
    <w:semiHidden/>
    <w:unhideWhenUsed/>
    <w:rsid w:val="002D06E4"/>
    <w:pPr>
      <w:spacing w:after="0" w:line="240" w:lineRule="auto"/>
    </w:pPr>
    <w:rPr>
      <w:sz w:val="20"/>
      <w:szCs w:val="20"/>
    </w:rPr>
  </w:style>
  <w:style w:type="character" w:customStyle="1" w:styleId="af2">
    <w:name w:val="Текст сноски Знак"/>
    <w:basedOn w:val="a0"/>
    <w:link w:val="af1"/>
    <w:uiPriority w:val="99"/>
    <w:semiHidden/>
    <w:rsid w:val="002D06E4"/>
    <w:rPr>
      <w:sz w:val="20"/>
      <w:szCs w:val="20"/>
    </w:rPr>
  </w:style>
  <w:style w:type="character" w:styleId="af3">
    <w:name w:val="footnote reference"/>
    <w:basedOn w:val="a0"/>
    <w:uiPriority w:val="99"/>
    <w:semiHidden/>
    <w:unhideWhenUsed/>
    <w:rsid w:val="002D06E4"/>
    <w:rPr>
      <w:vertAlign w:val="superscript"/>
    </w:rPr>
  </w:style>
  <w:style w:type="paragraph" w:styleId="af4">
    <w:name w:val="List Paragraph"/>
    <w:basedOn w:val="a"/>
    <w:uiPriority w:val="34"/>
    <w:qFormat/>
    <w:rsid w:val="001F2767"/>
    <w:pPr>
      <w:ind w:left="720"/>
      <w:contextualSpacing/>
    </w:pPr>
  </w:style>
  <w:style w:type="paragraph" w:styleId="HTML">
    <w:name w:val="HTML Preformatted"/>
    <w:basedOn w:val="a"/>
    <w:link w:val="HTML0"/>
    <w:uiPriority w:val="99"/>
    <w:semiHidden/>
    <w:unhideWhenUsed/>
    <w:rsid w:val="0065051E"/>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65051E"/>
    <w:rPr>
      <w:rFonts w:ascii="Consolas" w:hAnsi="Consolas"/>
      <w:sz w:val="20"/>
      <w:szCs w:val="20"/>
    </w:rPr>
  </w:style>
</w:styles>
</file>

<file path=word/webSettings.xml><?xml version="1.0" encoding="utf-8"?>
<w:webSettings xmlns:r="http://schemas.openxmlformats.org/officeDocument/2006/relationships" xmlns:w="http://schemas.openxmlformats.org/wordprocessingml/2006/main">
  <w:divs>
    <w:div w:id="355473080">
      <w:bodyDiv w:val="1"/>
      <w:marLeft w:val="0"/>
      <w:marRight w:val="0"/>
      <w:marTop w:val="0"/>
      <w:marBottom w:val="0"/>
      <w:divBdr>
        <w:top w:val="none" w:sz="0" w:space="0" w:color="auto"/>
        <w:left w:val="none" w:sz="0" w:space="0" w:color="auto"/>
        <w:bottom w:val="none" w:sz="0" w:space="0" w:color="auto"/>
        <w:right w:val="none" w:sz="0" w:space="0" w:color="auto"/>
      </w:divBdr>
    </w:div>
    <w:div w:id="390077910">
      <w:bodyDiv w:val="1"/>
      <w:marLeft w:val="0"/>
      <w:marRight w:val="0"/>
      <w:marTop w:val="0"/>
      <w:marBottom w:val="0"/>
      <w:divBdr>
        <w:top w:val="none" w:sz="0" w:space="0" w:color="auto"/>
        <w:left w:val="none" w:sz="0" w:space="0" w:color="auto"/>
        <w:bottom w:val="none" w:sz="0" w:space="0" w:color="auto"/>
        <w:right w:val="none" w:sz="0" w:space="0" w:color="auto"/>
      </w:divBdr>
    </w:div>
    <w:div w:id="420220914">
      <w:bodyDiv w:val="1"/>
      <w:marLeft w:val="0"/>
      <w:marRight w:val="0"/>
      <w:marTop w:val="0"/>
      <w:marBottom w:val="0"/>
      <w:divBdr>
        <w:top w:val="none" w:sz="0" w:space="0" w:color="auto"/>
        <w:left w:val="none" w:sz="0" w:space="0" w:color="auto"/>
        <w:bottom w:val="none" w:sz="0" w:space="0" w:color="auto"/>
        <w:right w:val="none" w:sz="0" w:space="0" w:color="auto"/>
      </w:divBdr>
    </w:div>
    <w:div w:id="421342779">
      <w:bodyDiv w:val="1"/>
      <w:marLeft w:val="0"/>
      <w:marRight w:val="0"/>
      <w:marTop w:val="0"/>
      <w:marBottom w:val="0"/>
      <w:divBdr>
        <w:top w:val="none" w:sz="0" w:space="0" w:color="auto"/>
        <w:left w:val="none" w:sz="0" w:space="0" w:color="auto"/>
        <w:bottom w:val="none" w:sz="0" w:space="0" w:color="auto"/>
        <w:right w:val="none" w:sz="0" w:space="0" w:color="auto"/>
      </w:divBdr>
    </w:div>
    <w:div w:id="429007860">
      <w:bodyDiv w:val="1"/>
      <w:marLeft w:val="0"/>
      <w:marRight w:val="0"/>
      <w:marTop w:val="0"/>
      <w:marBottom w:val="0"/>
      <w:divBdr>
        <w:top w:val="none" w:sz="0" w:space="0" w:color="auto"/>
        <w:left w:val="none" w:sz="0" w:space="0" w:color="auto"/>
        <w:bottom w:val="none" w:sz="0" w:space="0" w:color="auto"/>
        <w:right w:val="none" w:sz="0" w:space="0" w:color="auto"/>
      </w:divBdr>
    </w:div>
    <w:div w:id="465122736">
      <w:bodyDiv w:val="1"/>
      <w:marLeft w:val="0"/>
      <w:marRight w:val="0"/>
      <w:marTop w:val="0"/>
      <w:marBottom w:val="0"/>
      <w:divBdr>
        <w:top w:val="none" w:sz="0" w:space="0" w:color="auto"/>
        <w:left w:val="none" w:sz="0" w:space="0" w:color="auto"/>
        <w:bottom w:val="none" w:sz="0" w:space="0" w:color="auto"/>
        <w:right w:val="none" w:sz="0" w:space="0" w:color="auto"/>
      </w:divBdr>
    </w:div>
    <w:div w:id="652491578">
      <w:bodyDiv w:val="1"/>
      <w:marLeft w:val="0"/>
      <w:marRight w:val="0"/>
      <w:marTop w:val="0"/>
      <w:marBottom w:val="0"/>
      <w:divBdr>
        <w:top w:val="none" w:sz="0" w:space="0" w:color="auto"/>
        <w:left w:val="none" w:sz="0" w:space="0" w:color="auto"/>
        <w:bottom w:val="none" w:sz="0" w:space="0" w:color="auto"/>
        <w:right w:val="none" w:sz="0" w:space="0" w:color="auto"/>
      </w:divBdr>
    </w:div>
    <w:div w:id="676080030">
      <w:bodyDiv w:val="1"/>
      <w:marLeft w:val="0"/>
      <w:marRight w:val="0"/>
      <w:marTop w:val="0"/>
      <w:marBottom w:val="0"/>
      <w:divBdr>
        <w:top w:val="none" w:sz="0" w:space="0" w:color="auto"/>
        <w:left w:val="none" w:sz="0" w:space="0" w:color="auto"/>
        <w:bottom w:val="none" w:sz="0" w:space="0" w:color="auto"/>
        <w:right w:val="none" w:sz="0" w:space="0" w:color="auto"/>
      </w:divBdr>
    </w:div>
    <w:div w:id="693656476">
      <w:bodyDiv w:val="1"/>
      <w:marLeft w:val="0"/>
      <w:marRight w:val="0"/>
      <w:marTop w:val="0"/>
      <w:marBottom w:val="0"/>
      <w:divBdr>
        <w:top w:val="none" w:sz="0" w:space="0" w:color="auto"/>
        <w:left w:val="none" w:sz="0" w:space="0" w:color="auto"/>
        <w:bottom w:val="none" w:sz="0" w:space="0" w:color="auto"/>
        <w:right w:val="none" w:sz="0" w:space="0" w:color="auto"/>
      </w:divBdr>
    </w:div>
    <w:div w:id="924189818">
      <w:bodyDiv w:val="1"/>
      <w:marLeft w:val="0"/>
      <w:marRight w:val="0"/>
      <w:marTop w:val="0"/>
      <w:marBottom w:val="0"/>
      <w:divBdr>
        <w:top w:val="none" w:sz="0" w:space="0" w:color="auto"/>
        <w:left w:val="none" w:sz="0" w:space="0" w:color="auto"/>
        <w:bottom w:val="none" w:sz="0" w:space="0" w:color="auto"/>
        <w:right w:val="none" w:sz="0" w:space="0" w:color="auto"/>
      </w:divBdr>
    </w:div>
    <w:div w:id="1116485142">
      <w:bodyDiv w:val="1"/>
      <w:marLeft w:val="0"/>
      <w:marRight w:val="0"/>
      <w:marTop w:val="0"/>
      <w:marBottom w:val="0"/>
      <w:divBdr>
        <w:top w:val="none" w:sz="0" w:space="0" w:color="auto"/>
        <w:left w:val="none" w:sz="0" w:space="0" w:color="auto"/>
        <w:bottom w:val="none" w:sz="0" w:space="0" w:color="auto"/>
        <w:right w:val="none" w:sz="0" w:space="0" w:color="auto"/>
      </w:divBdr>
    </w:div>
    <w:div w:id="1175723467">
      <w:bodyDiv w:val="1"/>
      <w:marLeft w:val="0"/>
      <w:marRight w:val="0"/>
      <w:marTop w:val="0"/>
      <w:marBottom w:val="0"/>
      <w:divBdr>
        <w:top w:val="none" w:sz="0" w:space="0" w:color="auto"/>
        <w:left w:val="none" w:sz="0" w:space="0" w:color="auto"/>
        <w:bottom w:val="none" w:sz="0" w:space="0" w:color="auto"/>
        <w:right w:val="none" w:sz="0" w:space="0" w:color="auto"/>
      </w:divBdr>
    </w:div>
    <w:div w:id="1220241217">
      <w:bodyDiv w:val="1"/>
      <w:marLeft w:val="0"/>
      <w:marRight w:val="0"/>
      <w:marTop w:val="0"/>
      <w:marBottom w:val="0"/>
      <w:divBdr>
        <w:top w:val="none" w:sz="0" w:space="0" w:color="auto"/>
        <w:left w:val="none" w:sz="0" w:space="0" w:color="auto"/>
        <w:bottom w:val="none" w:sz="0" w:space="0" w:color="auto"/>
        <w:right w:val="none" w:sz="0" w:space="0" w:color="auto"/>
      </w:divBdr>
    </w:div>
    <w:div w:id="1286152876">
      <w:bodyDiv w:val="1"/>
      <w:marLeft w:val="0"/>
      <w:marRight w:val="0"/>
      <w:marTop w:val="0"/>
      <w:marBottom w:val="0"/>
      <w:divBdr>
        <w:top w:val="none" w:sz="0" w:space="0" w:color="auto"/>
        <w:left w:val="none" w:sz="0" w:space="0" w:color="auto"/>
        <w:bottom w:val="none" w:sz="0" w:space="0" w:color="auto"/>
        <w:right w:val="none" w:sz="0" w:space="0" w:color="auto"/>
      </w:divBdr>
    </w:div>
    <w:div w:id="1321545900">
      <w:bodyDiv w:val="1"/>
      <w:marLeft w:val="0"/>
      <w:marRight w:val="0"/>
      <w:marTop w:val="0"/>
      <w:marBottom w:val="0"/>
      <w:divBdr>
        <w:top w:val="none" w:sz="0" w:space="0" w:color="auto"/>
        <w:left w:val="none" w:sz="0" w:space="0" w:color="auto"/>
        <w:bottom w:val="none" w:sz="0" w:space="0" w:color="auto"/>
        <w:right w:val="none" w:sz="0" w:space="0" w:color="auto"/>
      </w:divBdr>
    </w:div>
    <w:div w:id="1407992485">
      <w:bodyDiv w:val="1"/>
      <w:marLeft w:val="0"/>
      <w:marRight w:val="0"/>
      <w:marTop w:val="0"/>
      <w:marBottom w:val="0"/>
      <w:divBdr>
        <w:top w:val="none" w:sz="0" w:space="0" w:color="auto"/>
        <w:left w:val="none" w:sz="0" w:space="0" w:color="auto"/>
        <w:bottom w:val="none" w:sz="0" w:space="0" w:color="auto"/>
        <w:right w:val="none" w:sz="0" w:space="0" w:color="auto"/>
      </w:divBdr>
    </w:div>
    <w:div w:id="1512137088">
      <w:bodyDiv w:val="1"/>
      <w:marLeft w:val="0"/>
      <w:marRight w:val="0"/>
      <w:marTop w:val="0"/>
      <w:marBottom w:val="0"/>
      <w:divBdr>
        <w:top w:val="none" w:sz="0" w:space="0" w:color="auto"/>
        <w:left w:val="none" w:sz="0" w:space="0" w:color="auto"/>
        <w:bottom w:val="none" w:sz="0" w:space="0" w:color="auto"/>
        <w:right w:val="none" w:sz="0" w:space="0" w:color="auto"/>
      </w:divBdr>
    </w:div>
    <w:div w:id="1693533400">
      <w:bodyDiv w:val="1"/>
      <w:marLeft w:val="0"/>
      <w:marRight w:val="0"/>
      <w:marTop w:val="0"/>
      <w:marBottom w:val="0"/>
      <w:divBdr>
        <w:top w:val="none" w:sz="0" w:space="0" w:color="auto"/>
        <w:left w:val="none" w:sz="0" w:space="0" w:color="auto"/>
        <w:bottom w:val="none" w:sz="0" w:space="0" w:color="auto"/>
        <w:right w:val="none" w:sz="0" w:space="0" w:color="auto"/>
      </w:divBdr>
    </w:div>
    <w:div w:id="1795752003">
      <w:bodyDiv w:val="1"/>
      <w:marLeft w:val="0"/>
      <w:marRight w:val="0"/>
      <w:marTop w:val="0"/>
      <w:marBottom w:val="0"/>
      <w:divBdr>
        <w:top w:val="none" w:sz="0" w:space="0" w:color="auto"/>
        <w:left w:val="none" w:sz="0" w:space="0" w:color="auto"/>
        <w:bottom w:val="none" w:sz="0" w:space="0" w:color="auto"/>
        <w:right w:val="none" w:sz="0" w:space="0" w:color="auto"/>
      </w:divBdr>
    </w:div>
    <w:div w:id="1860467359">
      <w:bodyDiv w:val="1"/>
      <w:marLeft w:val="0"/>
      <w:marRight w:val="0"/>
      <w:marTop w:val="0"/>
      <w:marBottom w:val="0"/>
      <w:divBdr>
        <w:top w:val="none" w:sz="0" w:space="0" w:color="auto"/>
        <w:left w:val="none" w:sz="0" w:space="0" w:color="auto"/>
        <w:bottom w:val="none" w:sz="0" w:space="0" w:color="auto"/>
        <w:right w:val="none" w:sz="0" w:space="0" w:color="auto"/>
      </w:divBdr>
    </w:div>
    <w:div w:id="211998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501248FABEBAE19893B7E5962E6F9323&amp;req=doc&amp;base=LAW&amp;n=336595&amp;REFFIELD=134&amp;REFDST=100335&amp;REFDOC=145566&amp;REFBASE=LAW&amp;stat=refcode%3D16876%3Bindex%3D101&amp;date=25.05.2020" TargetMode="External"/><Relationship Id="rId13" Type="http://schemas.openxmlformats.org/officeDocument/2006/relationships/hyperlink" Target="https://login.consultant.ru/link/?rnd=8BC38CB4C7B2F10240DE1C263B6C687B&amp;req=doc&amp;base=LAW&amp;n=145566&amp;dst=100358&amp;fld=134&amp;date=20.05.2020"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login.consultant.ru/link/?rnd=8BC38CB4C7B2F10240DE1C263B6C687B&amp;req=doc&amp;base=LAW&amp;n=145566&amp;dst=100357&amp;fld=134&amp;date=20.05.20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8BC38CB4C7B2F10240DE1C263B6C687B&amp;req=doc&amp;base=LAW&amp;n=145566&amp;dst=100355&amp;fld=134&amp;date=20.05.2020" TargetMode="External"/><Relationship Id="rId5" Type="http://schemas.openxmlformats.org/officeDocument/2006/relationships/webSettings" Target="webSettings.xml"/><Relationship Id="rId15" Type="http://schemas.openxmlformats.org/officeDocument/2006/relationships/hyperlink" Target="https://login.consultant.ru/link/?rnd=8BC38CB4C7B2F10240DE1C263B6C687B&amp;req=doc&amp;base=LAW&amp;n=151489&amp;dst=100016&amp;fld=134&amp;REFFIELD=134&amp;REFDST=100408&amp;REFDOC=145566&amp;REFBASE=LAW&amp;stat=refcode%3D16610%3Bdstident%3D100016%3Bindex%3D210&amp;date=20.05.2020" TargetMode="External"/><Relationship Id="rId10" Type="http://schemas.openxmlformats.org/officeDocument/2006/relationships/hyperlink" Target="https://login.consultant.ru/link/?rnd=8BC38CB4C7B2F10240DE1C263B6C687B&amp;req=doc&amp;base=LAW&amp;n=145566&amp;dst=100354&amp;fld=134&amp;date=20.05.2020" TargetMode="External"/><Relationship Id="rId4" Type="http://schemas.openxmlformats.org/officeDocument/2006/relationships/settings" Target="settings.xml"/><Relationship Id="rId9" Type="http://schemas.openxmlformats.org/officeDocument/2006/relationships/hyperlink" Target="https://login.consultant.ru/link/?rnd=501248FABEBAE19893B7E5962E6F9323&amp;req=doc&amp;base=LAW&amp;n=336595&amp;REFFIELD=134&amp;REFDST=100335&amp;REFDOC=145566&amp;REFBASE=LAW&amp;stat=refcode%3D16876%3Bindex%3D101&amp;date=25.05.2020" TargetMode="External"/><Relationship Id="rId14" Type="http://schemas.openxmlformats.org/officeDocument/2006/relationships/hyperlink" Target="https://login.consultant.ru/link/?rnd=8BC38CB4C7B2F10240DE1C263B6C687B&amp;req=doc&amp;base=LAW&amp;n=151489&amp;dst=100016&amp;fld=134&amp;REFFIELD=134&amp;REFDST=100408&amp;REFDOC=145566&amp;REFBASE=LAW&amp;stat=refcode%3D16610%3Bdstident%3D100016%3Bindex%3D210&amp;date=20.05.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7E74B-361A-4E2A-A2E1-3B11F8D74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2188</Words>
  <Characters>15320</Characters>
  <Application>Microsoft Office Word</Application>
  <DocSecurity>0</DocSecurity>
  <Lines>294</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Central Bank of Russian Federation</Company>
  <LinksUpToDate>false</LinksUpToDate>
  <CharactersWithSpaces>17396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Бородина Елена Александровна</dc:creator>
  <cp:keywords/>
  <dc:description/>
  <cp:lastModifiedBy>nikitina</cp:lastModifiedBy>
  <cp:revision>14</cp:revision>
  <cp:lastPrinted>2020-01-30T13:17:00Z</cp:lastPrinted>
  <dcterms:created xsi:type="dcterms:W3CDTF">2020-05-26T07:28:00Z</dcterms:created>
  <dcterms:modified xsi:type="dcterms:W3CDTF">2020-05-27T07:15:00Z</dcterms:modified>
</cp:coreProperties>
</file>