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302" w:type="dxa"/>
        <w:tblInd w:w="-318" w:type="dxa"/>
        <w:tblLayout w:type="fixed"/>
        <w:tblLook w:val="04A0" w:firstRow="1" w:lastRow="0" w:firstColumn="1" w:lastColumn="0" w:noHBand="0" w:noVBand="1"/>
      </w:tblPr>
      <w:tblGrid>
        <w:gridCol w:w="993"/>
        <w:gridCol w:w="7371"/>
        <w:gridCol w:w="7938"/>
      </w:tblGrid>
      <w:tr w:rsidR="00822E50" w:rsidRPr="00937C2F" w:rsidTr="00CD4170">
        <w:trPr>
          <w:trHeight w:val="1218"/>
        </w:trPr>
        <w:tc>
          <w:tcPr>
            <w:tcW w:w="993" w:type="dxa"/>
          </w:tcPr>
          <w:p w:rsidR="009E5E49" w:rsidRPr="00190F64" w:rsidRDefault="009E5E49" w:rsidP="00190F64">
            <w:pPr>
              <w:jc w:val="center"/>
              <w:rPr>
                <w:rFonts w:ascii="Times New Roman" w:hAnsi="Times New Roman" w:cs="Times New Roman"/>
                <w:b/>
                <w:sz w:val="24"/>
                <w:szCs w:val="24"/>
              </w:rPr>
            </w:pPr>
            <w:r w:rsidRPr="00190F64">
              <w:rPr>
                <w:rFonts w:ascii="Times New Roman" w:hAnsi="Times New Roman" w:cs="Times New Roman"/>
                <w:b/>
                <w:sz w:val="24"/>
                <w:szCs w:val="24"/>
              </w:rPr>
              <w:t xml:space="preserve">Пункт </w:t>
            </w:r>
            <w:r w:rsidR="002A4269" w:rsidRPr="00190F64">
              <w:rPr>
                <w:rFonts w:ascii="Times New Roman" w:hAnsi="Times New Roman" w:cs="Times New Roman"/>
                <w:b/>
                <w:sz w:val="24"/>
                <w:szCs w:val="24"/>
              </w:rPr>
              <w:t>ПДУ</w:t>
            </w:r>
            <w:r w:rsidRPr="00190F64">
              <w:rPr>
                <w:rFonts w:ascii="Times New Roman" w:hAnsi="Times New Roman" w:cs="Times New Roman"/>
                <w:b/>
                <w:sz w:val="24"/>
                <w:szCs w:val="24"/>
              </w:rPr>
              <w:t xml:space="preserve"> ПИФ</w:t>
            </w:r>
          </w:p>
        </w:tc>
        <w:tc>
          <w:tcPr>
            <w:tcW w:w="7371" w:type="dxa"/>
          </w:tcPr>
          <w:p w:rsidR="009E5E49" w:rsidRPr="00937C2F" w:rsidRDefault="009E5E49" w:rsidP="006D7A55">
            <w:pPr>
              <w:jc w:val="both"/>
              <w:rPr>
                <w:rFonts w:ascii="Times New Roman" w:hAnsi="Times New Roman" w:cs="Times New Roman"/>
                <w:b/>
                <w:sz w:val="24"/>
                <w:szCs w:val="24"/>
              </w:rPr>
            </w:pPr>
            <w:r w:rsidRPr="00937C2F">
              <w:rPr>
                <w:rFonts w:ascii="Times New Roman" w:hAnsi="Times New Roman" w:cs="Times New Roman"/>
                <w:b/>
                <w:sz w:val="24"/>
                <w:szCs w:val="24"/>
              </w:rPr>
              <w:t xml:space="preserve">Типовые </w:t>
            </w:r>
            <w:r w:rsidR="002A4269" w:rsidRPr="00937C2F">
              <w:rPr>
                <w:rFonts w:ascii="Times New Roman" w:hAnsi="Times New Roman" w:cs="Times New Roman"/>
                <w:b/>
                <w:sz w:val="24"/>
                <w:szCs w:val="24"/>
              </w:rPr>
              <w:t xml:space="preserve">правила доверительного управления </w:t>
            </w:r>
            <w:r w:rsidR="00AB6A4C" w:rsidRPr="00AB6A4C">
              <w:rPr>
                <w:rFonts w:ascii="Times New Roman" w:hAnsi="Times New Roman" w:cs="Times New Roman"/>
                <w:b/>
                <w:sz w:val="24"/>
                <w:szCs w:val="24"/>
                <w:u w:val="single"/>
              </w:rPr>
              <w:t>интервальным</w:t>
            </w:r>
            <w:r w:rsidR="002A4269" w:rsidRPr="00937C2F">
              <w:rPr>
                <w:rFonts w:ascii="Times New Roman" w:hAnsi="Times New Roman" w:cs="Times New Roman"/>
                <w:b/>
                <w:sz w:val="24"/>
                <w:szCs w:val="24"/>
              </w:rPr>
              <w:t xml:space="preserve"> паевым инвестиционным фондом, инвестиционные паи которого ограничены в обороте</w:t>
            </w:r>
            <w:r w:rsidRPr="00937C2F">
              <w:rPr>
                <w:rFonts w:ascii="Times New Roman" w:hAnsi="Times New Roman" w:cs="Times New Roman"/>
                <w:b/>
                <w:sz w:val="24"/>
                <w:szCs w:val="24"/>
              </w:rPr>
              <w:t xml:space="preserve"> </w:t>
            </w:r>
          </w:p>
        </w:tc>
        <w:tc>
          <w:tcPr>
            <w:tcW w:w="7938" w:type="dxa"/>
          </w:tcPr>
          <w:p w:rsidR="009E5E49" w:rsidRPr="00937C2F" w:rsidRDefault="00342C84" w:rsidP="00342C84">
            <w:pPr>
              <w:ind w:left="62"/>
              <w:jc w:val="both"/>
              <w:rPr>
                <w:rFonts w:ascii="Times New Roman" w:hAnsi="Times New Roman" w:cs="Times New Roman"/>
                <w:b/>
                <w:sz w:val="24"/>
                <w:szCs w:val="24"/>
              </w:rPr>
            </w:pPr>
            <w:r w:rsidRPr="00342C84">
              <w:rPr>
                <w:rFonts w:ascii="Times New Roman" w:hAnsi="Times New Roman" w:cs="Times New Roman"/>
                <w:b/>
                <w:sz w:val="24"/>
                <w:szCs w:val="24"/>
              </w:rPr>
              <w:t>ПДУ ПИФ с учетом изменений в Закон № 156-ФЗ, внесенных Законом № 75-ФЗ</w:t>
            </w:r>
            <w:r w:rsidRPr="00342C84">
              <w:rPr>
                <w:rFonts w:ascii="Times New Roman" w:hAnsi="Times New Roman" w:cs="Times New Roman"/>
                <w:b/>
                <w:sz w:val="24"/>
                <w:szCs w:val="24"/>
                <w:vertAlign w:val="superscript"/>
              </w:rPr>
              <w:footnoteReference w:id="1"/>
            </w:r>
            <w:r w:rsidRPr="00342C84">
              <w:rPr>
                <w:rFonts w:ascii="Times New Roman" w:hAnsi="Times New Roman" w:cs="Times New Roman"/>
                <w:b/>
                <w:sz w:val="24"/>
                <w:szCs w:val="24"/>
              </w:rPr>
              <w:t xml:space="preserve"> (неприменение ограничений, указанных в </w:t>
            </w:r>
            <w:proofErr w:type="spellStart"/>
            <w:r w:rsidRPr="00342C84">
              <w:rPr>
                <w:rFonts w:ascii="Times New Roman" w:hAnsi="Times New Roman" w:cs="Times New Roman"/>
                <w:b/>
                <w:sz w:val="24"/>
                <w:szCs w:val="24"/>
              </w:rPr>
              <w:t>пп</w:t>
            </w:r>
            <w:proofErr w:type="spellEnd"/>
            <w:r w:rsidRPr="00342C84">
              <w:rPr>
                <w:rFonts w:ascii="Times New Roman" w:hAnsi="Times New Roman" w:cs="Times New Roman"/>
                <w:b/>
                <w:sz w:val="24"/>
                <w:szCs w:val="24"/>
              </w:rPr>
              <w:t>. 6-11 п. 1 ст. 40 Закона № 156-ФЗ)</w:t>
            </w:r>
          </w:p>
        </w:tc>
      </w:tr>
      <w:tr w:rsidR="00800B40" w:rsidRPr="007E59B0" w:rsidTr="00F51042">
        <w:trPr>
          <w:trHeight w:val="1218"/>
        </w:trPr>
        <w:tc>
          <w:tcPr>
            <w:tcW w:w="993" w:type="dxa"/>
          </w:tcPr>
          <w:p w:rsidR="00800B40" w:rsidRPr="00C75CB5" w:rsidRDefault="00800B40" w:rsidP="00F51042">
            <w:pPr>
              <w:jc w:val="center"/>
              <w:rPr>
                <w:rFonts w:ascii="Times New Roman" w:hAnsi="Times New Roman" w:cs="Times New Roman"/>
                <w:b/>
                <w:sz w:val="24"/>
                <w:szCs w:val="24"/>
              </w:rPr>
            </w:pPr>
            <w:r>
              <w:rPr>
                <w:rFonts w:ascii="Times New Roman" w:hAnsi="Times New Roman" w:cs="Times New Roman"/>
                <w:b/>
                <w:sz w:val="24"/>
                <w:szCs w:val="24"/>
              </w:rPr>
              <w:t>31</w:t>
            </w:r>
          </w:p>
        </w:tc>
        <w:tc>
          <w:tcPr>
            <w:tcW w:w="7371" w:type="dxa"/>
          </w:tcPr>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Управляющая компания обязана:</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 xml:space="preserve">1) осуществлять доверительное управление фондом в соответствии с Федеральным </w:t>
            </w:r>
            <w:hyperlink r:id="rId8" w:history="1">
              <w:r w:rsidRPr="007E59B0">
                <w:rPr>
                  <w:rStyle w:val="ac"/>
                  <w:rFonts w:ascii="Times New Roman" w:hAnsi="Times New Roman" w:cs="Times New Roman"/>
                  <w:color w:val="auto"/>
                  <w:u w:val="none"/>
                </w:rPr>
                <w:t>законом</w:t>
              </w:r>
            </w:hyperlink>
            <w:r>
              <w:rPr>
                <w:rFonts w:ascii="Times New Roman" w:hAnsi="Times New Roman" w:cs="Times New Roman"/>
              </w:rPr>
              <w:t xml:space="preserve"> «</w:t>
            </w:r>
            <w:r w:rsidRPr="007E59B0">
              <w:rPr>
                <w:rFonts w:ascii="Times New Roman" w:hAnsi="Times New Roman" w:cs="Times New Roman"/>
              </w:rPr>
              <w:t>Об инвестиционных фондах</w:t>
            </w:r>
            <w:r>
              <w:rPr>
                <w:rFonts w:ascii="Times New Roman" w:hAnsi="Times New Roman" w:cs="Times New Roman"/>
              </w:rPr>
              <w:t>»</w:t>
            </w:r>
            <w:r w:rsidRPr="007E59B0">
              <w:rPr>
                <w:rFonts w:ascii="Times New Roman" w:hAnsi="Times New Roman" w:cs="Times New Roman"/>
              </w:rPr>
              <w:t>,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2) при осуществлении доверительного управления фондом действовать разумно и добросовестно в интересах владельцев инвестиционных паев;</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5) передавать специализированному депозитарию подлинные экземпляры документов, подтверждающих права на недвижимое имущество (подпункт включается, если инвестиционная декларация фонда предусматривает инвестирование в объекты недвижимого имущества и (или) права на недвижимое имущество);</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6) страховать здания, сооружения, помещения, составляющие фонд, от рисков их утраты и повреждения _________________ (подпункт включается, если инвестиционная декларация фонда предусматривает инвестирование в указанное недвижимое имущество. При этом указываются:</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минимальная страховая сумма, которая не может быть меньше 50 процентов оценочной стоимости объекта недвижимого имущества на дату заключения договора страхования;</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lastRenderedPageBreak/>
              <w:t>максимальный размер частичного освобождения страховщика от выплаты страхового возмещения (франшизы), который не может быть больше 1 процента страховой суммы;</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недвижимое имущество, составляющее фонд, должно быть застраховано, но не более 30 дней с даты включения недвижимого имущества в состав имущества фонда;</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но не более 30 дней с даты увеличения оценочной стоимости недвижимого имущества.</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Управляющая компания вправе возложить обязанность, предусмотренную настоящим подпунктом, на арендатора недвижимого имущества (абзац может не включаться). Подпункт может не включаться, если инвестиционные паи предназначены для квалифицированных инвесторов);</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7) страховать _________________ (указывается имущество, в которое инвестиционная декларация фонда предусматривает инвестирование, кроме зданий, сооружений, помещений, а также имущественных прав. При этом указываются риски, подлежащие страхованию, и минимальная страховая сумма. Подпункт может не включаться);</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8)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(подпункт включается, если правилами не предусмотрено, что инвестиционные паи предназначены для квалифицированных инвесторов);</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 xml:space="preserve">9) предоставлять владельцам инвестиционных паев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При этом ____________________________ (указывается </w:t>
            </w:r>
            <w:r w:rsidRPr="007E59B0">
              <w:rPr>
                <w:rFonts w:ascii="Times New Roman" w:hAnsi="Times New Roman" w:cs="Times New Roman"/>
              </w:rPr>
              <w:lastRenderedPageBreak/>
              <w:t>порядок предоставления указанной в настоящем подпункте информации) (подпункт включается, если инвестиционные паи предназначены для квалифицированных инвесторов);</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10) раскрывать отчеты, требования к которым устанавливаются федеральным органом исполнительной власти по рынку ценных бумаг.</w:t>
            </w:r>
          </w:p>
        </w:tc>
        <w:tc>
          <w:tcPr>
            <w:tcW w:w="7938" w:type="dxa"/>
          </w:tcPr>
          <w:p w:rsidR="00800B40" w:rsidRPr="007E59B0" w:rsidRDefault="00800B40"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lastRenderedPageBreak/>
              <w:t>Управляющая компания обязана:</w:t>
            </w:r>
          </w:p>
          <w:p w:rsidR="00800B40" w:rsidRPr="007E59B0" w:rsidRDefault="00800B40" w:rsidP="00F51042">
            <w:pPr>
              <w:pStyle w:val="af4"/>
              <w:numPr>
                <w:ilvl w:val="0"/>
                <w:numId w:val="1"/>
              </w:numPr>
              <w:tabs>
                <w:tab w:val="left" w:pos="913"/>
              </w:tabs>
              <w:ind w:left="0" w:firstLine="540"/>
              <w:jc w:val="both"/>
              <w:rPr>
                <w:rFonts w:ascii="Times New Roman" w:hAnsi="Times New Roman" w:cs="Times New Roman"/>
              </w:rPr>
            </w:pPr>
            <w:r w:rsidRPr="007E59B0">
              <w:rPr>
                <w:rFonts w:ascii="Times New Roman" w:hAnsi="Times New Roman" w:cs="Times New Roman"/>
              </w:rPr>
              <w:t xml:space="preserve">осуществлять доверительное управление фондом в соответствии с Федеральным </w:t>
            </w:r>
            <w:hyperlink r:id="rId9" w:history="1">
              <w:r w:rsidRPr="007E59B0">
                <w:rPr>
                  <w:rStyle w:val="ac"/>
                  <w:rFonts w:ascii="Times New Roman" w:hAnsi="Times New Roman" w:cs="Times New Roman"/>
                  <w:color w:val="auto"/>
                  <w:u w:val="none"/>
                </w:rPr>
                <w:t>законом</w:t>
              </w:r>
            </w:hyperlink>
            <w:r w:rsidRPr="007E59B0">
              <w:rPr>
                <w:rFonts w:ascii="Times New Roman" w:hAnsi="Times New Roman" w:cs="Times New Roman"/>
              </w:rPr>
              <w:t xml:space="preserve">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956BD3" w:rsidRPr="00C35056" w:rsidRDefault="00956BD3" w:rsidP="00956BD3">
            <w:pPr>
              <w:pStyle w:val="af4"/>
              <w:tabs>
                <w:tab w:val="left" w:pos="913"/>
              </w:tabs>
              <w:ind w:left="63" w:firstLine="425"/>
              <w:jc w:val="both"/>
              <w:rPr>
                <w:rFonts w:ascii="Times New Roman" w:hAnsi="Times New Roman" w:cs="Times New Roman"/>
              </w:rPr>
            </w:pPr>
            <w:r w:rsidRPr="00C35056">
              <w:rPr>
                <w:rFonts w:ascii="Times New Roman" w:hAnsi="Times New Roman" w:cs="Times New Roman"/>
                <w:b/>
              </w:rPr>
              <w:t xml:space="preserve">1.1) при осуществлении доверительного управления фондом </w:t>
            </w:r>
            <w:r w:rsidRPr="00C35056">
              <w:rPr>
                <w:rFonts w:ascii="Times New Roman" w:eastAsia="Times New Roman" w:hAnsi="Times New Roman" w:cs="Times New Roman"/>
                <w:b/>
                <w:lang w:eastAsia="ru-RU"/>
              </w:rPr>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800B40" w:rsidRPr="007E59B0" w:rsidRDefault="00800B40" w:rsidP="00F51042">
            <w:pPr>
              <w:tabs>
                <w:tab w:val="left" w:pos="913"/>
              </w:tabs>
              <w:ind w:firstLine="540"/>
              <w:jc w:val="both"/>
              <w:rPr>
                <w:rFonts w:ascii="Times New Roman" w:hAnsi="Times New Roman" w:cs="Times New Roman"/>
                <w:sz w:val="21"/>
                <w:szCs w:val="21"/>
              </w:rPr>
            </w:pPr>
            <w:bookmarkStart w:id="0" w:name="_GoBack"/>
            <w:bookmarkEnd w:id="0"/>
            <w:r w:rsidRPr="007E59B0">
              <w:rPr>
                <w:rFonts w:ascii="Times New Roman" w:hAnsi="Times New Roman" w:cs="Times New Roman"/>
              </w:rPr>
              <w:t>2) при осуществлении доверительного управления фондом действовать разумно и добросовестно в интересах владельцев инвестиционных паев;</w:t>
            </w:r>
          </w:p>
          <w:p w:rsidR="00800B40" w:rsidRPr="007E59B0" w:rsidRDefault="00800B40"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800B40" w:rsidRPr="007E59B0" w:rsidRDefault="00800B40"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00B40" w:rsidRPr="007E59B0" w:rsidRDefault="00800B40"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5) передавать специализированному депозитарию подлинные экземпляры документов, подтверждающих права на недвижимое имущество (подпункт включается, если инвестиционная декларация фонда предусматривает инвестирование в объекты недвижимого имущества и (или) права на недвижимое имущество);</w:t>
            </w:r>
          </w:p>
          <w:p w:rsidR="00800B40" w:rsidRPr="007E59B0" w:rsidRDefault="00800B40"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6) страховать здания, сооружения, помещения, составляющие фонд, от рисков их утраты и повреждения _________________ (подпункт включается, если инвестиционная декларация фонда предусматривает инвестирование в указанное недвижимое имущество. При этом указываются:</w:t>
            </w:r>
          </w:p>
          <w:p w:rsidR="00800B40" w:rsidRPr="007E59B0" w:rsidRDefault="00800B40" w:rsidP="00F51042">
            <w:pPr>
              <w:tabs>
                <w:tab w:val="left" w:pos="913"/>
              </w:tabs>
              <w:ind w:firstLine="540"/>
              <w:jc w:val="both"/>
              <w:rPr>
                <w:rFonts w:ascii="Times New Roman" w:hAnsi="Times New Roman" w:cs="Times New Roman"/>
                <w:sz w:val="21"/>
                <w:szCs w:val="21"/>
              </w:rPr>
            </w:pPr>
            <w:r w:rsidRPr="007E59B0">
              <w:rPr>
                <w:rFonts w:ascii="Times New Roman" w:hAnsi="Times New Roman" w:cs="Times New Roman"/>
              </w:rPr>
              <w:t>минимальная страховая сумма, которая не может быть меньше 50 процентов оценочной стоимости объекта недвижимого имущества на дату заключения договора страхования;</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lastRenderedPageBreak/>
              <w:t>максимальный размер частичного освобождения страховщика от выплаты страхового возмещения (франшизы), который не может быть больше 1 процента страховой суммы;</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недвижимое имущество, составляющее фонд, должно быть застраховано, но не более 30 дней с даты включения недвижимого имущества в состав имущества фонда;</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но не более 30 дней с даты увеличения оценочной стоимости недвижимого имущества.</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Управляющая компания вправе возложить обязанность, предусмотренную настоящим подпунктом, на арендатора недвижимого имущества (абзац может не включаться). Подпункт может не включаться, если инвестиционные паи предназначены для квалифицированных инвесторов);</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7) страховать _________________ (указывается имущество, в которое инвестиционная декларация фонда предусматривает инвестирование, кроме зданий, сооружений, помещений, а также имущественных прав. При этом указываются риски, подлежащие страхованию, и минимальная страховая сумма. Подпункт может не включаться);</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8)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(подпункт включается, если правилами не предусмотрено, что инвестиционные паи предназначены для квалифицированных инвесторов);</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t>9) предоставлять владельцам инвестиционных паев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если правилами предусмотрена возможность частичного погашения инвестиционных паев без заявления владельцем инвестиционных паев требования об их погашении не позднее 3 рабочих дней до даты составления указанного списка. При этом ____________________________ (указывается порядок предоставления указанной в настоящем подпункте информации) (подпункт включается, если инвестиционные паи предназначены для квалифицированных инвесторов);</w:t>
            </w:r>
          </w:p>
          <w:p w:rsidR="00800B40" w:rsidRPr="007E59B0" w:rsidRDefault="00800B40" w:rsidP="00F51042">
            <w:pPr>
              <w:ind w:firstLine="540"/>
              <w:jc w:val="both"/>
              <w:rPr>
                <w:rFonts w:ascii="Times New Roman" w:hAnsi="Times New Roman" w:cs="Times New Roman"/>
                <w:sz w:val="21"/>
                <w:szCs w:val="21"/>
              </w:rPr>
            </w:pPr>
            <w:r w:rsidRPr="007E59B0">
              <w:rPr>
                <w:rFonts w:ascii="Times New Roman" w:hAnsi="Times New Roman" w:cs="Times New Roman"/>
              </w:rPr>
              <w:lastRenderedPageBreak/>
              <w:t>10) раскрывать отчеты, требования к которым устанавливаются федеральным органом исполнительной власти по рынку ценных бумаг.</w:t>
            </w:r>
          </w:p>
        </w:tc>
      </w:tr>
      <w:tr w:rsidR="005A6E26" w:rsidRPr="00C75CB5" w:rsidTr="00CD4170">
        <w:trPr>
          <w:trHeight w:val="1218"/>
        </w:trPr>
        <w:tc>
          <w:tcPr>
            <w:tcW w:w="993" w:type="dxa"/>
          </w:tcPr>
          <w:p w:rsidR="005A6E26" w:rsidRPr="00C75CB5" w:rsidRDefault="005A6E26" w:rsidP="00C75CB5">
            <w:pPr>
              <w:jc w:val="center"/>
              <w:rPr>
                <w:rFonts w:ascii="Times New Roman" w:hAnsi="Times New Roman" w:cs="Times New Roman"/>
                <w:b/>
                <w:sz w:val="24"/>
                <w:szCs w:val="24"/>
              </w:rPr>
            </w:pPr>
            <w:r w:rsidRPr="00C75CB5">
              <w:rPr>
                <w:rFonts w:ascii="Times New Roman" w:hAnsi="Times New Roman" w:cs="Times New Roman"/>
                <w:b/>
                <w:sz w:val="24"/>
                <w:szCs w:val="24"/>
              </w:rPr>
              <w:lastRenderedPageBreak/>
              <w:t>33</w:t>
            </w:r>
          </w:p>
        </w:tc>
        <w:tc>
          <w:tcPr>
            <w:tcW w:w="7371" w:type="dxa"/>
          </w:tcPr>
          <w:p w:rsidR="005A6E26" w:rsidRPr="00AB6A4C" w:rsidRDefault="005A6E26" w:rsidP="00AB6A4C">
            <w:pPr>
              <w:ind w:firstLine="540"/>
              <w:jc w:val="both"/>
              <w:rPr>
                <w:rFonts w:ascii="Times New Roman" w:hAnsi="Times New Roman" w:cs="Times New Roman"/>
                <w:sz w:val="21"/>
                <w:szCs w:val="21"/>
              </w:rPr>
            </w:pPr>
            <w:r w:rsidRPr="00AB6A4C">
              <w:rPr>
                <w:rFonts w:ascii="Times New Roman" w:hAnsi="Times New Roman" w:cs="Times New Roman"/>
              </w:rPr>
              <w:t xml:space="preserve">Ограничения на совершение сделок с ценными бумагами, установленные </w:t>
            </w:r>
            <w:hyperlink r:id="rId10" w:history="1">
              <w:r w:rsidRPr="00AB6A4C">
                <w:rPr>
                  <w:rStyle w:val="ac"/>
                  <w:rFonts w:ascii="Times New Roman" w:hAnsi="Times New Roman" w:cs="Times New Roman"/>
                  <w:color w:val="auto"/>
                  <w:u w:val="none"/>
                </w:rPr>
                <w:t>абзацами восьмым</w:t>
              </w:r>
            </w:hyperlink>
            <w:r w:rsidRPr="00AB6A4C">
              <w:rPr>
                <w:rFonts w:ascii="Times New Roman" w:hAnsi="Times New Roman" w:cs="Times New Roman"/>
              </w:rPr>
              <w:t xml:space="preserve">, </w:t>
            </w:r>
            <w:hyperlink r:id="rId11" w:history="1">
              <w:r w:rsidRPr="00AB6A4C">
                <w:rPr>
                  <w:rStyle w:val="ac"/>
                  <w:rFonts w:ascii="Times New Roman" w:hAnsi="Times New Roman" w:cs="Times New Roman"/>
                  <w:color w:val="auto"/>
                  <w:u w:val="none"/>
                </w:rPr>
                <w:t>девятым</w:t>
              </w:r>
            </w:hyperlink>
            <w:r w:rsidRPr="00AB6A4C">
              <w:rPr>
                <w:rFonts w:ascii="Times New Roman" w:hAnsi="Times New Roman" w:cs="Times New Roman"/>
              </w:rPr>
              <w:t xml:space="preserve">, </w:t>
            </w:r>
            <w:hyperlink r:id="rId12" w:history="1">
              <w:r w:rsidRPr="00AB6A4C">
                <w:rPr>
                  <w:rStyle w:val="ac"/>
                  <w:rFonts w:ascii="Times New Roman" w:hAnsi="Times New Roman" w:cs="Times New Roman"/>
                  <w:color w:val="auto"/>
                  <w:u w:val="none"/>
                </w:rPr>
                <w:t>одиннадцатым</w:t>
              </w:r>
            </w:hyperlink>
            <w:r w:rsidRPr="00AB6A4C">
              <w:rPr>
                <w:rFonts w:ascii="Times New Roman" w:hAnsi="Times New Roman" w:cs="Times New Roman"/>
              </w:rPr>
              <w:t xml:space="preserve"> и </w:t>
            </w:r>
            <w:hyperlink r:id="rId13" w:history="1">
              <w:r w:rsidRPr="00AB6A4C">
                <w:rPr>
                  <w:rStyle w:val="ac"/>
                  <w:rFonts w:ascii="Times New Roman" w:hAnsi="Times New Roman" w:cs="Times New Roman"/>
                  <w:color w:val="auto"/>
                  <w:u w:val="none"/>
                </w:rPr>
                <w:t>двенадцатым подпункта 5 пункта 32</w:t>
              </w:r>
            </w:hyperlink>
            <w:r w:rsidRPr="00AB6A4C">
              <w:rPr>
                <w:rFonts w:ascii="Times New Roman" w:hAnsi="Times New Roman" w:cs="Times New Roman"/>
              </w:rPr>
              <w:t xml:space="preserve"> настоящих Правил, не применяются, если:</w:t>
            </w:r>
          </w:p>
          <w:p w:rsidR="005A6E26" w:rsidRPr="00AB6A4C" w:rsidRDefault="005A6E26" w:rsidP="00AB6A4C">
            <w:pPr>
              <w:ind w:firstLine="540"/>
              <w:jc w:val="both"/>
              <w:rPr>
                <w:rFonts w:ascii="Times New Roman" w:hAnsi="Times New Roman" w:cs="Times New Roman"/>
                <w:sz w:val="21"/>
                <w:szCs w:val="21"/>
              </w:rPr>
            </w:pPr>
            <w:r w:rsidRPr="00AB6A4C">
              <w:rPr>
                <w:rFonts w:ascii="Times New Roman" w:hAnsi="Times New Roman" w:cs="Times New Roman"/>
              </w:rP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(подпункт включается, если инвестиционная декларация фонда предусматривает инвестирование в ценные бумаги, обращающиеся на организованных торгах);</w:t>
            </w:r>
          </w:p>
          <w:p w:rsidR="005A6E26" w:rsidRPr="00AB6A4C" w:rsidRDefault="005A6E26" w:rsidP="00AB6A4C">
            <w:pPr>
              <w:ind w:firstLine="540"/>
              <w:jc w:val="both"/>
              <w:rPr>
                <w:rFonts w:ascii="Times New Roman" w:hAnsi="Times New Roman" w:cs="Times New Roman"/>
                <w:sz w:val="21"/>
                <w:szCs w:val="21"/>
              </w:rPr>
            </w:pPr>
            <w:r w:rsidRPr="00AB6A4C">
              <w:rPr>
                <w:rFonts w:ascii="Times New Roman" w:hAnsi="Times New Roman" w:cs="Times New Roman"/>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 (подпункт может включаться, если правилами предусмотрена возможность обмена инвестиционных паев на инвестиционные паи других паевых инвестиционных фондов);</w:t>
            </w:r>
          </w:p>
          <w:p w:rsidR="005A6E26" w:rsidRPr="00AB6A4C" w:rsidRDefault="005A6E26" w:rsidP="00AB6A4C">
            <w:pPr>
              <w:ind w:firstLine="540"/>
              <w:jc w:val="both"/>
              <w:rPr>
                <w:rFonts w:ascii="Times New Roman" w:hAnsi="Times New Roman" w:cs="Times New Roman"/>
                <w:sz w:val="21"/>
                <w:szCs w:val="21"/>
              </w:rPr>
            </w:pPr>
            <w:r w:rsidRPr="00AB6A4C">
              <w:rPr>
                <w:rFonts w:ascii="Times New Roman" w:hAnsi="Times New Roman" w:cs="Times New Roman"/>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 (подпункт может включаться, если правилами предусмотрена возможность обмена инвестиционных паев других паевых инвестиционных фондов на инвестиционные паи фонда).</w:t>
            </w:r>
          </w:p>
          <w:p w:rsidR="005A6E26" w:rsidRDefault="005A6E26" w:rsidP="00AB6A4C">
            <w:pPr>
              <w:ind w:firstLine="540"/>
              <w:jc w:val="both"/>
              <w:rPr>
                <w:rFonts w:ascii="Times New Roman" w:hAnsi="Times New Roman" w:cs="Times New Roman"/>
              </w:rPr>
            </w:pPr>
            <w:r w:rsidRPr="00AB6A4C">
              <w:rPr>
                <w:rFonts w:ascii="Times New Roman" w:hAnsi="Times New Roman" w:cs="Times New Roman"/>
              </w:rPr>
              <w:t>(Пункт может не включаться в правила.)</w:t>
            </w:r>
          </w:p>
          <w:p w:rsidR="005A6E26" w:rsidRPr="00AB6A4C" w:rsidRDefault="005A6E26" w:rsidP="00AB6A4C">
            <w:pPr>
              <w:ind w:firstLine="540"/>
              <w:jc w:val="both"/>
              <w:rPr>
                <w:rFonts w:ascii="Times New Roman" w:hAnsi="Times New Roman" w:cs="Times New Roman"/>
                <w:sz w:val="21"/>
                <w:szCs w:val="21"/>
              </w:rPr>
            </w:pPr>
          </w:p>
        </w:tc>
        <w:tc>
          <w:tcPr>
            <w:tcW w:w="7938" w:type="dxa"/>
            <w:vMerge w:val="restart"/>
          </w:tcPr>
          <w:p w:rsidR="005A6E26" w:rsidRPr="00370C79" w:rsidRDefault="005A6E26" w:rsidP="001179A2">
            <w:pPr>
              <w:ind w:firstLine="540"/>
              <w:jc w:val="both"/>
              <w:rPr>
                <w:rFonts w:ascii="Times New Roman" w:hAnsi="Times New Roman" w:cs="Times New Roman"/>
                <w:b/>
                <w:sz w:val="21"/>
                <w:szCs w:val="21"/>
              </w:rPr>
            </w:pPr>
            <w:r>
              <w:rPr>
                <w:rFonts w:ascii="Times New Roman" w:hAnsi="Times New Roman" w:cs="Times New Roman"/>
                <w:b/>
              </w:rPr>
              <w:t xml:space="preserve">33. </w:t>
            </w:r>
            <w:r w:rsidRPr="00370C79">
              <w:rPr>
                <w:rFonts w:ascii="Times New Roman" w:hAnsi="Times New Roman" w:cs="Times New Roman"/>
                <w:b/>
              </w:rPr>
              <w:t xml:space="preserve">Ограничения на  совершение сделок, установленные абзацами восьмым </w:t>
            </w:r>
            <w:r>
              <w:rPr>
                <w:rFonts w:ascii="Times New Roman" w:hAnsi="Times New Roman" w:cs="Times New Roman"/>
                <w:b/>
              </w:rPr>
              <w:t>–</w:t>
            </w:r>
            <w:r w:rsidRPr="00370C79">
              <w:rPr>
                <w:rFonts w:ascii="Times New Roman" w:hAnsi="Times New Roman" w:cs="Times New Roman"/>
                <w:b/>
              </w:rPr>
              <w:t xml:space="preserve"> </w:t>
            </w:r>
            <w:r>
              <w:rPr>
                <w:rFonts w:ascii="Times New Roman" w:hAnsi="Times New Roman" w:cs="Times New Roman"/>
                <w:b/>
              </w:rPr>
              <w:t xml:space="preserve">тринадцатым </w:t>
            </w:r>
            <w:r w:rsidRPr="00370C79">
              <w:rPr>
                <w:rFonts w:ascii="Times New Roman" w:hAnsi="Times New Roman" w:cs="Times New Roman"/>
                <w:b/>
              </w:rPr>
              <w:t>подпункта 5 пункта 32 настоящих Правил</w:t>
            </w:r>
            <w:r>
              <w:rPr>
                <w:rFonts w:ascii="Times New Roman" w:hAnsi="Times New Roman" w:cs="Times New Roman"/>
                <w:b/>
              </w:rPr>
              <w:t>,</w:t>
            </w:r>
            <w:r w:rsidRPr="00370C79">
              <w:rPr>
                <w:rFonts w:ascii="Times New Roman" w:hAnsi="Times New Roman" w:cs="Times New Roman"/>
                <w:b/>
              </w:rPr>
              <w:t xml:space="preserve">  </w:t>
            </w:r>
            <w:r w:rsidRPr="00392F58">
              <w:rPr>
                <w:rFonts w:ascii="Times New Roman" w:hAnsi="Times New Roman" w:cs="Times New Roman"/>
                <w:b/>
              </w:rPr>
              <w:t xml:space="preserve">при осуществлении доверительного управления фондом </w:t>
            </w:r>
            <w:r w:rsidRPr="00370C79">
              <w:rPr>
                <w:rFonts w:ascii="Times New Roman" w:hAnsi="Times New Roman" w:cs="Times New Roman"/>
                <w:b/>
              </w:rPr>
              <w:t>не приме</w:t>
            </w:r>
            <w:r>
              <w:rPr>
                <w:rFonts w:ascii="Times New Roman" w:hAnsi="Times New Roman" w:cs="Times New Roman"/>
                <w:b/>
              </w:rPr>
              <w:t>няются.</w:t>
            </w:r>
          </w:p>
        </w:tc>
      </w:tr>
      <w:tr w:rsidR="005A6E26" w:rsidRPr="00C75CB5" w:rsidTr="00CD4170">
        <w:trPr>
          <w:trHeight w:val="1218"/>
        </w:trPr>
        <w:tc>
          <w:tcPr>
            <w:tcW w:w="993" w:type="dxa"/>
          </w:tcPr>
          <w:p w:rsidR="005A6E26" w:rsidRPr="00C75CB5" w:rsidRDefault="005A6E26" w:rsidP="00C75CB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71" w:type="dxa"/>
          </w:tcPr>
          <w:p w:rsidR="005A6E26" w:rsidRPr="005A6E26" w:rsidRDefault="005A6E26" w:rsidP="005A6E26">
            <w:pPr>
              <w:ind w:firstLine="540"/>
              <w:jc w:val="both"/>
              <w:rPr>
                <w:rFonts w:ascii="Times New Roman" w:hAnsi="Times New Roman" w:cs="Times New Roman"/>
              </w:rPr>
            </w:pPr>
            <w:r w:rsidRPr="005A6E26">
              <w:rPr>
                <w:rFonts w:ascii="Times New Roman" w:hAnsi="Times New Roman" w:cs="Times New Roman"/>
              </w:rPr>
              <w:t>Ограничения на совершение сделок, установленные абзацем десятым подпункта 5 пункта 32 настоящих Правил, не применяются, если указанные сделки:</w:t>
            </w:r>
          </w:p>
          <w:p w:rsidR="005A6E26" w:rsidRPr="005A6E26" w:rsidRDefault="005A6E26" w:rsidP="005A6E26">
            <w:pPr>
              <w:ind w:firstLine="540"/>
              <w:jc w:val="both"/>
              <w:rPr>
                <w:rFonts w:ascii="Times New Roman" w:hAnsi="Times New Roman" w:cs="Times New Roman"/>
              </w:rPr>
            </w:pPr>
            <w:r w:rsidRPr="005A6E26">
              <w:rPr>
                <w:rFonts w:ascii="Times New Roman" w:hAnsi="Times New Roman" w:cs="Times New Roman"/>
              </w:rPr>
              <w:t>1) совершаются с ценными бумагами, включенными в котировальные списки российских бирж (подпункт включается, если инвестиционная декларация фонда предусматривает инвестирование в ценные бумаги, включенные в котировальные списки российских бирж);</w:t>
            </w:r>
          </w:p>
          <w:p w:rsidR="005A6E26" w:rsidRPr="005A6E26" w:rsidRDefault="005A6E26" w:rsidP="005A6E26">
            <w:pPr>
              <w:ind w:firstLine="540"/>
              <w:jc w:val="both"/>
              <w:rPr>
                <w:rFonts w:ascii="Times New Roman" w:hAnsi="Times New Roman" w:cs="Times New Roman"/>
              </w:rPr>
            </w:pPr>
            <w:r w:rsidRPr="005A6E26">
              <w:rPr>
                <w:rFonts w:ascii="Times New Roman" w:hAnsi="Times New Roman" w:cs="Times New Roman"/>
              </w:rPr>
              <w:lastRenderedPageBreak/>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 (подпункт включается, если инвестиционная декларация фонда предусматривает инвестирование в акции и эмиссионные ценные бумаги, конвертируемые в акции);</w:t>
            </w:r>
          </w:p>
          <w:p w:rsidR="005A6E26" w:rsidRPr="005A6E26" w:rsidRDefault="005A6E26" w:rsidP="005A6E26">
            <w:pPr>
              <w:ind w:firstLine="540"/>
              <w:jc w:val="both"/>
              <w:rPr>
                <w:rFonts w:ascii="Times New Roman" w:hAnsi="Times New Roman" w:cs="Times New Roman"/>
              </w:rPr>
            </w:pPr>
            <w:r w:rsidRPr="005A6E26">
              <w:rPr>
                <w:rFonts w:ascii="Times New Roman" w:hAnsi="Times New Roman" w:cs="Times New Roman"/>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(подпункт включается, если инвестиционная декларация фонда предусматривает инвестирование в акции).</w:t>
            </w:r>
          </w:p>
          <w:p w:rsidR="005A6E26" w:rsidRPr="00AB6A4C" w:rsidRDefault="005A6E26" w:rsidP="00AB6A4C">
            <w:pPr>
              <w:ind w:firstLine="540"/>
              <w:jc w:val="both"/>
              <w:rPr>
                <w:rFonts w:ascii="Times New Roman" w:hAnsi="Times New Roman" w:cs="Times New Roman"/>
              </w:rPr>
            </w:pPr>
          </w:p>
        </w:tc>
        <w:tc>
          <w:tcPr>
            <w:tcW w:w="7938" w:type="dxa"/>
            <w:vMerge/>
          </w:tcPr>
          <w:p w:rsidR="005A6E26" w:rsidRPr="00370C79" w:rsidRDefault="005A6E26" w:rsidP="00650E72">
            <w:pPr>
              <w:ind w:firstLine="540"/>
              <w:jc w:val="both"/>
              <w:rPr>
                <w:rFonts w:ascii="Times New Roman" w:hAnsi="Times New Roman" w:cs="Times New Roman"/>
                <w:b/>
              </w:rPr>
            </w:pPr>
          </w:p>
        </w:tc>
      </w:tr>
    </w:tbl>
    <w:p w:rsidR="0016233D" w:rsidRPr="00564C21" w:rsidRDefault="0016233D">
      <w:pPr>
        <w:rPr>
          <w:rFonts w:ascii="Times New Roman" w:hAnsi="Times New Roman" w:cs="Times New Roman"/>
          <w:sz w:val="24"/>
          <w:szCs w:val="24"/>
        </w:rPr>
      </w:pPr>
    </w:p>
    <w:sectPr w:rsidR="0016233D" w:rsidRPr="00564C21" w:rsidSect="00190F64">
      <w:headerReference w:type="defaul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05" w:rsidRDefault="00D11605" w:rsidP="002D06E4">
      <w:pPr>
        <w:spacing w:after="0" w:line="240" w:lineRule="auto"/>
      </w:pPr>
      <w:r>
        <w:separator/>
      </w:r>
    </w:p>
  </w:endnote>
  <w:endnote w:type="continuationSeparator" w:id="0">
    <w:p w:rsidR="00D11605" w:rsidRDefault="00D11605" w:rsidP="002D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05" w:rsidRDefault="00D11605" w:rsidP="002D06E4">
      <w:pPr>
        <w:spacing w:after="0" w:line="240" w:lineRule="auto"/>
      </w:pPr>
      <w:r>
        <w:separator/>
      </w:r>
    </w:p>
  </w:footnote>
  <w:footnote w:type="continuationSeparator" w:id="0">
    <w:p w:rsidR="00D11605" w:rsidRDefault="00D11605" w:rsidP="002D06E4">
      <w:pPr>
        <w:spacing w:after="0" w:line="240" w:lineRule="auto"/>
      </w:pPr>
      <w:r>
        <w:continuationSeparator/>
      </w:r>
    </w:p>
  </w:footnote>
  <w:footnote w:id="1">
    <w:p w:rsidR="00342C84" w:rsidRPr="00A869EB" w:rsidRDefault="00342C84" w:rsidP="00342C84">
      <w:pPr>
        <w:jc w:val="both"/>
        <w:rPr>
          <w:rFonts w:ascii="Verdana" w:eastAsia="Times New Roman" w:hAnsi="Verdana" w:cs="Times New Roman"/>
          <w:sz w:val="20"/>
          <w:szCs w:val="20"/>
          <w:lang w:eastAsia="ru-RU"/>
        </w:rPr>
      </w:pPr>
      <w:r w:rsidRPr="00A869EB">
        <w:rPr>
          <w:rStyle w:val="af3"/>
          <w:sz w:val="20"/>
          <w:szCs w:val="20"/>
        </w:rPr>
        <w:footnoteRef/>
      </w:r>
      <w:r w:rsidRPr="00A869EB">
        <w:rPr>
          <w:sz w:val="20"/>
          <w:szCs w:val="20"/>
        </w:rPr>
        <w:t xml:space="preserve"> </w:t>
      </w:r>
      <w:r w:rsidRPr="00A869EB">
        <w:rPr>
          <w:rFonts w:ascii="Times New Roman" w:eastAsia="Times New Roman" w:hAnsi="Times New Roman" w:cs="Times New Roman"/>
          <w:sz w:val="20"/>
          <w:szCs w:val="20"/>
          <w:lang w:eastAsia="ru-RU"/>
        </w:rPr>
        <w:t>Федеральный закон от 01.05.2019 № 75-ФЗ «О внесении изменений в Федеральный закон «Об инвестиционных фондах» и Федеральный закон «О Российском Фонде Прямых Инвестиций».</w:t>
      </w:r>
    </w:p>
    <w:p w:rsidR="00342C84" w:rsidRPr="0078453D" w:rsidRDefault="00342C84" w:rsidP="00342C84">
      <w:pPr>
        <w:autoSpaceDE w:val="0"/>
        <w:autoSpaceDN w:val="0"/>
        <w:adjustRightInd w:val="0"/>
        <w:spacing w:after="0" w:line="240" w:lineRule="auto"/>
        <w:jc w:val="both"/>
        <w:rPr>
          <w:rFonts w:ascii="Times New Roman" w:hAnsi="Times New Roman"/>
          <w:sz w:val="20"/>
          <w:szCs w:val="20"/>
          <w:lang w:eastAsia="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46682"/>
      <w:docPartObj>
        <w:docPartGallery w:val="Page Numbers (Top of Page)"/>
        <w:docPartUnique/>
      </w:docPartObj>
    </w:sdtPr>
    <w:sdtEndPr/>
    <w:sdtContent>
      <w:p w:rsidR="002D06E4" w:rsidRDefault="002D06E4">
        <w:pPr>
          <w:pStyle w:val="ad"/>
          <w:jc w:val="center"/>
        </w:pPr>
        <w:r>
          <w:fldChar w:fldCharType="begin"/>
        </w:r>
        <w:r>
          <w:instrText>PAGE   \* MERGEFORMAT</w:instrText>
        </w:r>
        <w:r>
          <w:fldChar w:fldCharType="separate"/>
        </w:r>
        <w:r w:rsidR="00956BD3">
          <w:rPr>
            <w:noProof/>
          </w:rPr>
          <w:t>4</w:t>
        </w:r>
        <w:r>
          <w:fldChar w:fldCharType="end"/>
        </w:r>
      </w:p>
    </w:sdtContent>
  </w:sdt>
  <w:p w:rsidR="002D06E4" w:rsidRDefault="002D06E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05E7"/>
    <w:multiLevelType w:val="hybridMultilevel"/>
    <w:tmpl w:val="5ED0EE08"/>
    <w:lvl w:ilvl="0" w:tplc="6EAC3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49"/>
    <w:rsid w:val="000348C5"/>
    <w:rsid w:val="0003493E"/>
    <w:rsid w:val="000A78BC"/>
    <w:rsid w:val="000E39BD"/>
    <w:rsid w:val="0010788D"/>
    <w:rsid w:val="0011500D"/>
    <w:rsid w:val="001179A2"/>
    <w:rsid w:val="00121EBF"/>
    <w:rsid w:val="00132210"/>
    <w:rsid w:val="00155E96"/>
    <w:rsid w:val="0016233D"/>
    <w:rsid w:val="00180B2C"/>
    <w:rsid w:val="001815BE"/>
    <w:rsid w:val="00181965"/>
    <w:rsid w:val="00183EC9"/>
    <w:rsid w:val="00190F64"/>
    <w:rsid w:val="001956FD"/>
    <w:rsid w:val="001B1D0D"/>
    <w:rsid w:val="001C430D"/>
    <w:rsid w:val="001C73F9"/>
    <w:rsid w:val="001F18C1"/>
    <w:rsid w:val="00201032"/>
    <w:rsid w:val="00214AA5"/>
    <w:rsid w:val="00222B1E"/>
    <w:rsid w:val="0022597E"/>
    <w:rsid w:val="00233C5D"/>
    <w:rsid w:val="00235913"/>
    <w:rsid w:val="0024463F"/>
    <w:rsid w:val="00247147"/>
    <w:rsid w:val="00255E64"/>
    <w:rsid w:val="00256CCF"/>
    <w:rsid w:val="0026630F"/>
    <w:rsid w:val="00275AF2"/>
    <w:rsid w:val="00282B59"/>
    <w:rsid w:val="002A4269"/>
    <w:rsid w:val="002D06E4"/>
    <w:rsid w:val="002D0F0F"/>
    <w:rsid w:val="002D4517"/>
    <w:rsid w:val="002E2FFF"/>
    <w:rsid w:val="002E60D5"/>
    <w:rsid w:val="00311710"/>
    <w:rsid w:val="00342C84"/>
    <w:rsid w:val="00366E11"/>
    <w:rsid w:val="00370C79"/>
    <w:rsid w:val="00383270"/>
    <w:rsid w:val="00392F58"/>
    <w:rsid w:val="003A3F8D"/>
    <w:rsid w:val="003C0C02"/>
    <w:rsid w:val="003F1B43"/>
    <w:rsid w:val="00404ABC"/>
    <w:rsid w:val="004243B9"/>
    <w:rsid w:val="00425BF3"/>
    <w:rsid w:val="00433C72"/>
    <w:rsid w:val="00467774"/>
    <w:rsid w:val="0048368F"/>
    <w:rsid w:val="004A7D09"/>
    <w:rsid w:val="004B10C5"/>
    <w:rsid w:val="004C6DD1"/>
    <w:rsid w:val="004D73D1"/>
    <w:rsid w:val="004E7E86"/>
    <w:rsid w:val="0050382E"/>
    <w:rsid w:val="00511DEE"/>
    <w:rsid w:val="00564C21"/>
    <w:rsid w:val="00571B81"/>
    <w:rsid w:val="0057400E"/>
    <w:rsid w:val="005A6E26"/>
    <w:rsid w:val="005C43A3"/>
    <w:rsid w:val="005D4B98"/>
    <w:rsid w:val="005F42FD"/>
    <w:rsid w:val="005F77B7"/>
    <w:rsid w:val="0060425A"/>
    <w:rsid w:val="00606D67"/>
    <w:rsid w:val="00616723"/>
    <w:rsid w:val="006254B1"/>
    <w:rsid w:val="00636123"/>
    <w:rsid w:val="00637500"/>
    <w:rsid w:val="0064207F"/>
    <w:rsid w:val="00650E72"/>
    <w:rsid w:val="0065301C"/>
    <w:rsid w:val="006530B1"/>
    <w:rsid w:val="006A0C23"/>
    <w:rsid w:val="006B46A5"/>
    <w:rsid w:val="006D7A55"/>
    <w:rsid w:val="006E19AE"/>
    <w:rsid w:val="0070641C"/>
    <w:rsid w:val="00777E87"/>
    <w:rsid w:val="00795972"/>
    <w:rsid w:val="007D6553"/>
    <w:rsid w:val="007D74FD"/>
    <w:rsid w:val="00800B40"/>
    <w:rsid w:val="00822E50"/>
    <w:rsid w:val="008474B6"/>
    <w:rsid w:val="008A5690"/>
    <w:rsid w:val="008C2FF0"/>
    <w:rsid w:val="008D13AE"/>
    <w:rsid w:val="008D45ED"/>
    <w:rsid w:val="008F26E6"/>
    <w:rsid w:val="00913F37"/>
    <w:rsid w:val="00937C2F"/>
    <w:rsid w:val="00952891"/>
    <w:rsid w:val="00956BD3"/>
    <w:rsid w:val="00960637"/>
    <w:rsid w:val="00973F1E"/>
    <w:rsid w:val="009747CE"/>
    <w:rsid w:val="009976CF"/>
    <w:rsid w:val="009B6375"/>
    <w:rsid w:val="009E5E49"/>
    <w:rsid w:val="009F155F"/>
    <w:rsid w:val="009F207F"/>
    <w:rsid w:val="009F6381"/>
    <w:rsid w:val="00A11C23"/>
    <w:rsid w:val="00A301B2"/>
    <w:rsid w:val="00A54B72"/>
    <w:rsid w:val="00A5722E"/>
    <w:rsid w:val="00A723D4"/>
    <w:rsid w:val="00A7686B"/>
    <w:rsid w:val="00A869EB"/>
    <w:rsid w:val="00A9076D"/>
    <w:rsid w:val="00A94096"/>
    <w:rsid w:val="00AA2D03"/>
    <w:rsid w:val="00AA35EB"/>
    <w:rsid w:val="00AB2410"/>
    <w:rsid w:val="00AB4CB4"/>
    <w:rsid w:val="00AB6A4C"/>
    <w:rsid w:val="00AE54BA"/>
    <w:rsid w:val="00AF168C"/>
    <w:rsid w:val="00B1454B"/>
    <w:rsid w:val="00B21B3F"/>
    <w:rsid w:val="00B36EB8"/>
    <w:rsid w:val="00B54C0F"/>
    <w:rsid w:val="00B55E45"/>
    <w:rsid w:val="00B63CF7"/>
    <w:rsid w:val="00B75FEC"/>
    <w:rsid w:val="00B96150"/>
    <w:rsid w:val="00BA24F6"/>
    <w:rsid w:val="00BD4EB5"/>
    <w:rsid w:val="00BE240A"/>
    <w:rsid w:val="00C426F8"/>
    <w:rsid w:val="00C75CB5"/>
    <w:rsid w:val="00C76529"/>
    <w:rsid w:val="00C97766"/>
    <w:rsid w:val="00CD4170"/>
    <w:rsid w:val="00CE78FB"/>
    <w:rsid w:val="00CF25CA"/>
    <w:rsid w:val="00D0327A"/>
    <w:rsid w:val="00D0465B"/>
    <w:rsid w:val="00D11605"/>
    <w:rsid w:val="00D16130"/>
    <w:rsid w:val="00D73019"/>
    <w:rsid w:val="00D741E5"/>
    <w:rsid w:val="00D96841"/>
    <w:rsid w:val="00DB4375"/>
    <w:rsid w:val="00DE4D90"/>
    <w:rsid w:val="00E06991"/>
    <w:rsid w:val="00E4019C"/>
    <w:rsid w:val="00E57ABB"/>
    <w:rsid w:val="00E64FD3"/>
    <w:rsid w:val="00E67E66"/>
    <w:rsid w:val="00E70567"/>
    <w:rsid w:val="00E94D85"/>
    <w:rsid w:val="00EA52A9"/>
    <w:rsid w:val="00EA75A9"/>
    <w:rsid w:val="00ED11E0"/>
    <w:rsid w:val="00ED4E98"/>
    <w:rsid w:val="00EE5165"/>
    <w:rsid w:val="00EF0594"/>
    <w:rsid w:val="00EF4969"/>
    <w:rsid w:val="00F10F7E"/>
    <w:rsid w:val="00F328DE"/>
    <w:rsid w:val="00F666A3"/>
    <w:rsid w:val="00F807B8"/>
    <w:rsid w:val="00F83A23"/>
    <w:rsid w:val="00FA2AE9"/>
    <w:rsid w:val="00FD2695"/>
    <w:rsid w:val="00FE4168"/>
    <w:rsid w:val="00FF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10303-CFB7-4A46-AE49-E548309C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430D"/>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977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7766"/>
    <w:rPr>
      <w:rFonts w:ascii="Segoe UI" w:hAnsi="Segoe UI" w:cs="Segoe UI"/>
      <w:sz w:val="18"/>
      <w:szCs w:val="18"/>
    </w:rPr>
  </w:style>
  <w:style w:type="character" w:styleId="a6">
    <w:name w:val="annotation reference"/>
    <w:basedOn w:val="a0"/>
    <w:uiPriority w:val="99"/>
    <w:semiHidden/>
    <w:unhideWhenUsed/>
    <w:rsid w:val="00C426F8"/>
    <w:rPr>
      <w:sz w:val="16"/>
      <w:szCs w:val="16"/>
    </w:rPr>
  </w:style>
  <w:style w:type="paragraph" w:styleId="a7">
    <w:name w:val="annotation text"/>
    <w:basedOn w:val="a"/>
    <w:link w:val="a8"/>
    <w:uiPriority w:val="99"/>
    <w:semiHidden/>
    <w:unhideWhenUsed/>
    <w:rsid w:val="00C426F8"/>
    <w:pPr>
      <w:spacing w:line="240" w:lineRule="auto"/>
    </w:pPr>
    <w:rPr>
      <w:sz w:val="20"/>
      <w:szCs w:val="20"/>
    </w:rPr>
  </w:style>
  <w:style w:type="character" w:customStyle="1" w:styleId="a8">
    <w:name w:val="Текст примечания Знак"/>
    <w:basedOn w:val="a0"/>
    <w:link w:val="a7"/>
    <w:uiPriority w:val="99"/>
    <w:semiHidden/>
    <w:rsid w:val="00C426F8"/>
    <w:rPr>
      <w:sz w:val="20"/>
      <w:szCs w:val="20"/>
    </w:rPr>
  </w:style>
  <w:style w:type="paragraph" w:styleId="a9">
    <w:name w:val="annotation subject"/>
    <w:basedOn w:val="a7"/>
    <w:next w:val="a7"/>
    <w:link w:val="aa"/>
    <w:uiPriority w:val="99"/>
    <w:semiHidden/>
    <w:unhideWhenUsed/>
    <w:rsid w:val="00C426F8"/>
    <w:rPr>
      <w:b/>
      <w:bCs/>
    </w:rPr>
  </w:style>
  <w:style w:type="character" w:customStyle="1" w:styleId="aa">
    <w:name w:val="Тема примечания Знак"/>
    <w:basedOn w:val="a8"/>
    <w:link w:val="a9"/>
    <w:uiPriority w:val="99"/>
    <w:semiHidden/>
    <w:rsid w:val="00C426F8"/>
    <w:rPr>
      <w:b/>
      <w:bCs/>
      <w:sz w:val="20"/>
      <w:szCs w:val="20"/>
    </w:rPr>
  </w:style>
  <w:style w:type="paragraph" w:styleId="ab">
    <w:name w:val="Revision"/>
    <w:hidden/>
    <w:uiPriority w:val="99"/>
    <w:semiHidden/>
    <w:rsid w:val="008A5690"/>
    <w:pPr>
      <w:spacing w:after="0" w:line="240" w:lineRule="auto"/>
    </w:pPr>
  </w:style>
  <w:style w:type="character" w:styleId="ac">
    <w:name w:val="Hyperlink"/>
    <w:basedOn w:val="a0"/>
    <w:uiPriority w:val="99"/>
    <w:semiHidden/>
    <w:unhideWhenUsed/>
    <w:rsid w:val="00913F37"/>
    <w:rPr>
      <w:color w:val="0563C1" w:themeColor="hyperlink"/>
      <w:u w:val="single"/>
    </w:rPr>
  </w:style>
  <w:style w:type="paragraph" w:styleId="ad">
    <w:name w:val="header"/>
    <w:basedOn w:val="a"/>
    <w:link w:val="ae"/>
    <w:uiPriority w:val="99"/>
    <w:unhideWhenUsed/>
    <w:rsid w:val="002D06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06E4"/>
  </w:style>
  <w:style w:type="paragraph" w:styleId="af">
    <w:name w:val="footer"/>
    <w:basedOn w:val="a"/>
    <w:link w:val="af0"/>
    <w:uiPriority w:val="99"/>
    <w:unhideWhenUsed/>
    <w:rsid w:val="002D06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06E4"/>
  </w:style>
  <w:style w:type="paragraph" w:styleId="af1">
    <w:name w:val="footnote text"/>
    <w:basedOn w:val="a"/>
    <w:link w:val="af2"/>
    <w:uiPriority w:val="99"/>
    <w:semiHidden/>
    <w:unhideWhenUsed/>
    <w:rsid w:val="002D06E4"/>
    <w:pPr>
      <w:spacing w:after="0" w:line="240" w:lineRule="auto"/>
    </w:pPr>
    <w:rPr>
      <w:sz w:val="20"/>
      <w:szCs w:val="20"/>
    </w:rPr>
  </w:style>
  <w:style w:type="character" w:customStyle="1" w:styleId="af2">
    <w:name w:val="Текст сноски Знак"/>
    <w:basedOn w:val="a0"/>
    <w:link w:val="af1"/>
    <w:uiPriority w:val="99"/>
    <w:semiHidden/>
    <w:rsid w:val="002D06E4"/>
    <w:rPr>
      <w:sz w:val="20"/>
      <w:szCs w:val="20"/>
    </w:rPr>
  </w:style>
  <w:style w:type="character" w:styleId="af3">
    <w:name w:val="footnote reference"/>
    <w:basedOn w:val="a0"/>
    <w:uiPriority w:val="99"/>
    <w:semiHidden/>
    <w:unhideWhenUsed/>
    <w:rsid w:val="002D06E4"/>
    <w:rPr>
      <w:vertAlign w:val="superscript"/>
    </w:rPr>
  </w:style>
  <w:style w:type="paragraph" w:styleId="af4">
    <w:name w:val="List Paragraph"/>
    <w:basedOn w:val="a"/>
    <w:uiPriority w:val="34"/>
    <w:qFormat/>
    <w:rsid w:val="0080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3080">
      <w:bodyDiv w:val="1"/>
      <w:marLeft w:val="0"/>
      <w:marRight w:val="0"/>
      <w:marTop w:val="0"/>
      <w:marBottom w:val="0"/>
      <w:divBdr>
        <w:top w:val="none" w:sz="0" w:space="0" w:color="auto"/>
        <w:left w:val="none" w:sz="0" w:space="0" w:color="auto"/>
        <w:bottom w:val="none" w:sz="0" w:space="0" w:color="auto"/>
        <w:right w:val="none" w:sz="0" w:space="0" w:color="auto"/>
      </w:divBdr>
    </w:div>
    <w:div w:id="390077910">
      <w:bodyDiv w:val="1"/>
      <w:marLeft w:val="0"/>
      <w:marRight w:val="0"/>
      <w:marTop w:val="0"/>
      <w:marBottom w:val="0"/>
      <w:divBdr>
        <w:top w:val="none" w:sz="0" w:space="0" w:color="auto"/>
        <w:left w:val="none" w:sz="0" w:space="0" w:color="auto"/>
        <w:bottom w:val="none" w:sz="0" w:space="0" w:color="auto"/>
        <w:right w:val="none" w:sz="0" w:space="0" w:color="auto"/>
      </w:divBdr>
    </w:div>
    <w:div w:id="420220914">
      <w:bodyDiv w:val="1"/>
      <w:marLeft w:val="0"/>
      <w:marRight w:val="0"/>
      <w:marTop w:val="0"/>
      <w:marBottom w:val="0"/>
      <w:divBdr>
        <w:top w:val="none" w:sz="0" w:space="0" w:color="auto"/>
        <w:left w:val="none" w:sz="0" w:space="0" w:color="auto"/>
        <w:bottom w:val="none" w:sz="0" w:space="0" w:color="auto"/>
        <w:right w:val="none" w:sz="0" w:space="0" w:color="auto"/>
      </w:divBdr>
    </w:div>
    <w:div w:id="421342779">
      <w:bodyDiv w:val="1"/>
      <w:marLeft w:val="0"/>
      <w:marRight w:val="0"/>
      <w:marTop w:val="0"/>
      <w:marBottom w:val="0"/>
      <w:divBdr>
        <w:top w:val="none" w:sz="0" w:space="0" w:color="auto"/>
        <w:left w:val="none" w:sz="0" w:space="0" w:color="auto"/>
        <w:bottom w:val="none" w:sz="0" w:space="0" w:color="auto"/>
        <w:right w:val="none" w:sz="0" w:space="0" w:color="auto"/>
      </w:divBdr>
    </w:div>
    <w:div w:id="429007860">
      <w:bodyDiv w:val="1"/>
      <w:marLeft w:val="0"/>
      <w:marRight w:val="0"/>
      <w:marTop w:val="0"/>
      <w:marBottom w:val="0"/>
      <w:divBdr>
        <w:top w:val="none" w:sz="0" w:space="0" w:color="auto"/>
        <w:left w:val="none" w:sz="0" w:space="0" w:color="auto"/>
        <w:bottom w:val="none" w:sz="0" w:space="0" w:color="auto"/>
        <w:right w:val="none" w:sz="0" w:space="0" w:color="auto"/>
      </w:divBdr>
    </w:div>
    <w:div w:id="465122736">
      <w:bodyDiv w:val="1"/>
      <w:marLeft w:val="0"/>
      <w:marRight w:val="0"/>
      <w:marTop w:val="0"/>
      <w:marBottom w:val="0"/>
      <w:divBdr>
        <w:top w:val="none" w:sz="0" w:space="0" w:color="auto"/>
        <w:left w:val="none" w:sz="0" w:space="0" w:color="auto"/>
        <w:bottom w:val="none" w:sz="0" w:space="0" w:color="auto"/>
        <w:right w:val="none" w:sz="0" w:space="0" w:color="auto"/>
      </w:divBdr>
    </w:div>
    <w:div w:id="652491578">
      <w:bodyDiv w:val="1"/>
      <w:marLeft w:val="0"/>
      <w:marRight w:val="0"/>
      <w:marTop w:val="0"/>
      <w:marBottom w:val="0"/>
      <w:divBdr>
        <w:top w:val="none" w:sz="0" w:space="0" w:color="auto"/>
        <w:left w:val="none" w:sz="0" w:space="0" w:color="auto"/>
        <w:bottom w:val="none" w:sz="0" w:space="0" w:color="auto"/>
        <w:right w:val="none" w:sz="0" w:space="0" w:color="auto"/>
      </w:divBdr>
    </w:div>
    <w:div w:id="676080030">
      <w:bodyDiv w:val="1"/>
      <w:marLeft w:val="0"/>
      <w:marRight w:val="0"/>
      <w:marTop w:val="0"/>
      <w:marBottom w:val="0"/>
      <w:divBdr>
        <w:top w:val="none" w:sz="0" w:space="0" w:color="auto"/>
        <w:left w:val="none" w:sz="0" w:space="0" w:color="auto"/>
        <w:bottom w:val="none" w:sz="0" w:space="0" w:color="auto"/>
        <w:right w:val="none" w:sz="0" w:space="0" w:color="auto"/>
      </w:divBdr>
    </w:div>
    <w:div w:id="924189818">
      <w:bodyDiv w:val="1"/>
      <w:marLeft w:val="0"/>
      <w:marRight w:val="0"/>
      <w:marTop w:val="0"/>
      <w:marBottom w:val="0"/>
      <w:divBdr>
        <w:top w:val="none" w:sz="0" w:space="0" w:color="auto"/>
        <w:left w:val="none" w:sz="0" w:space="0" w:color="auto"/>
        <w:bottom w:val="none" w:sz="0" w:space="0" w:color="auto"/>
        <w:right w:val="none" w:sz="0" w:space="0" w:color="auto"/>
      </w:divBdr>
    </w:div>
    <w:div w:id="1116485142">
      <w:bodyDiv w:val="1"/>
      <w:marLeft w:val="0"/>
      <w:marRight w:val="0"/>
      <w:marTop w:val="0"/>
      <w:marBottom w:val="0"/>
      <w:divBdr>
        <w:top w:val="none" w:sz="0" w:space="0" w:color="auto"/>
        <w:left w:val="none" w:sz="0" w:space="0" w:color="auto"/>
        <w:bottom w:val="none" w:sz="0" w:space="0" w:color="auto"/>
        <w:right w:val="none" w:sz="0" w:space="0" w:color="auto"/>
      </w:divBdr>
    </w:div>
    <w:div w:id="1175723467">
      <w:bodyDiv w:val="1"/>
      <w:marLeft w:val="0"/>
      <w:marRight w:val="0"/>
      <w:marTop w:val="0"/>
      <w:marBottom w:val="0"/>
      <w:divBdr>
        <w:top w:val="none" w:sz="0" w:space="0" w:color="auto"/>
        <w:left w:val="none" w:sz="0" w:space="0" w:color="auto"/>
        <w:bottom w:val="none" w:sz="0" w:space="0" w:color="auto"/>
        <w:right w:val="none" w:sz="0" w:space="0" w:color="auto"/>
      </w:divBdr>
    </w:div>
    <w:div w:id="1286152876">
      <w:bodyDiv w:val="1"/>
      <w:marLeft w:val="0"/>
      <w:marRight w:val="0"/>
      <w:marTop w:val="0"/>
      <w:marBottom w:val="0"/>
      <w:divBdr>
        <w:top w:val="none" w:sz="0" w:space="0" w:color="auto"/>
        <w:left w:val="none" w:sz="0" w:space="0" w:color="auto"/>
        <w:bottom w:val="none" w:sz="0" w:space="0" w:color="auto"/>
        <w:right w:val="none" w:sz="0" w:space="0" w:color="auto"/>
      </w:divBdr>
    </w:div>
    <w:div w:id="1321545900">
      <w:bodyDiv w:val="1"/>
      <w:marLeft w:val="0"/>
      <w:marRight w:val="0"/>
      <w:marTop w:val="0"/>
      <w:marBottom w:val="0"/>
      <w:divBdr>
        <w:top w:val="none" w:sz="0" w:space="0" w:color="auto"/>
        <w:left w:val="none" w:sz="0" w:space="0" w:color="auto"/>
        <w:bottom w:val="none" w:sz="0" w:space="0" w:color="auto"/>
        <w:right w:val="none" w:sz="0" w:space="0" w:color="auto"/>
      </w:divBdr>
    </w:div>
    <w:div w:id="1693533400">
      <w:bodyDiv w:val="1"/>
      <w:marLeft w:val="0"/>
      <w:marRight w:val="0"/>
      <w:marTop w:val="0"/>
      <w:marBottom w:val="0"/>
      <w:divBdr>
        <w:top w:val="none" w:sz="0" w:space="0" w:color="auto"/>
        <w:left w:val="none" w:sz="0" w:space="0" w:color="auto"/>
        <w:bottom w:val="none" w:sz="0" w:space="0" w:color="auto"/>
        <w:right w:val="none" w:sz="0" w:space="0" w:color="auto"/>
      </w:divBdr>
    </w:div>
    <w:div w:id="1795752003">
      <w:bodyDiv w:val="1"/>
      <w:marLeft w:val="0"/>
      <w:marRight w:val="0"/>
      <w:marTop w:val="0"/>
      <w:marBottom w:val="0"/>
      <w:divBdr>
        <w:top w:val="none" w:sz="0" w:space="0" w:color="auto"/>
        <w:left w:val="none" w:sz="0" w:space="0" w:color="auto"/>
        <w:bottom w:val="none" w:sz="0" w:space="0" w:color="auto"/>
        <w:right w:val="none" w:sz="0" w:space="0" w:color="auto"/>
      </w:divBdr>
    </w:div>
    <w:div w:id="1806848274">
      <w:bodyDiv w:val="1"/>
      <w:marLeft w:val="0"/>
      <w:marRight w:val="0"/>
      <w:marTop w:val="0"/>
      <w:marBottom w:val="0"/>
      <w:divBdr>
        <w:top w:val="none" w:sz="0" w:space="0" w:color="auto"/>
        <w:left w:val="none" w:sz="0" w:space="0" w:color="auto"/>
        <w:bottom w:val="none" w:sz="0" w:space="0" w:color="auto"/>
        <w:right w:val="none" w:sz="0" w:space="0" w:color="auto"/>
      </w:divBdr>
    </w:div>
    <w:div w:id="1860467359">
      <w:bodyDiv w:val="1"/>
      <w:marLeft w:val="0"/>
      <w:marRight w:val="0"/>
      <w:marTop w:val="0"/>
      <w:marBottom w:val="0"/>
      <w:divBdr>
        <w:top w:val="none" w:sz="0" w:space="0" w:color="auto"/>
        <w:left w:val="none" w:sz="0" w:space="0" w:color="auto"/>
        <w:bottom w:val="none" w:sz="0" w:space="0" w:color="auto"/>
        <w:right w:val="none" w:sz="0" w:space="0" w:color="auto"/>
      </w:divBdr>
    </w:div>
    <w:div w:id="21199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01248FABEBAE19893B7E5962E6F9323&amp;req=doc&amp;base=LAW&amp;n=336595&amp;REFFIELD=134&amp;REFDST=100335&amp;REFDOC=145566&amp;REFBASE=LAW&amp;stat=refcode%3D16876%3Bindex%3D101&amp;date=25.05.2020" TargetMode="External"/><Relationship Id="rId13" Type="http://schemas.openxmlformats.org/officeDocument/2006/relationships/hyperlink" Target="https://login.consultant.ru/link/?rnd=8BC38CB4C7B2F10240DE1C263B6C687B&amp;req=doc&amp;base=LAW&amp;n=150593&amp;dst=100357&amp;fld=134&amp;date=20.05.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8BC38CB4C7B2F10240DE1C263B6C687B&amp;req=doc&amp;base=LAW&amp;n=150593&amp;dst=100356&amp;fld=134&amp;date=20.05.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8BC38CB4C7B2F10240DE1C263B6C687B&amp;req=doc&amp;base=LAW&amp;n=150593&amp;dst=100354&amp;fld=134&amp;date=20.05.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8BC38CB4C7B2F10240DE1C263B6C687B&amp;req=doc&amp;base=LAW&amp;n=150593&amp;dst=100353&amp;fld=134&amp;date=20.05.2020" TargetMode="External"/><Relationship Id="rId4" Type="http://schemas.openxmlformats.org/officeDocument/2006/relationships/settings" Target="settings.xml"/><Relationship Id="rId9" Type="http://schemas.openxmlformats.org/officeDocument/2006/relationships/hyperlink" Target="https://login.consultant.ru/link/?rnd=501248FABEBAE19893B7E5962E6F9323&amp;req=doc&amp;base=LAW&amp;n=336595&amp;REFFIELD=134&amp;REFDST=100335&amp;REFDOC=145566&amp;REFBASE=LAW&amp;stat=refcode%3D16876%3Bindex%3D101&amp;date=25.05.2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6BC1-5C16-4D33-A34B-E150C67D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Елена Александровна</dc:creator>
  <cp:keywords/>
  <dc:description/>
  <cp:lastModifiedBy>Ацканов Тимур Аниуарович</cp:lastModifiedBy>
  <cp:revision>10</cp:revision>
  <cp:lastPrinted>2020-01-30T13:17:00Z</cp:lastPrinted>
  <dcterms:created xsi:type="dcterms:W3CDTF">2020-05-26T07:28:00Z</dcterms:created>
  <dcterms:modified xsi:type="dcterms:W3CDTF">2020-05-26T11:24:00Z</dcterms:modified>
</cp:coreProperties>
</file>